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43" w:rsidRPr="00920C0E" w:rsidRDefault="008D7B9F" w:rsidP="00640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7D">
        <w:rPr>
          <w:rFonts w:ascii="Times New Roman" w:hAnsi="Times New Roman" w:cs="Times New Roman"/>
          <w:b/>
          <w:sz w:val="28"/>
          <w:szCs w:val="28"/>
        </w:rPr>
        <w:t>Отчет о ходе ре</w:t>
      </w:r>
      <w:r w:rsidRPr="00F17A7D">
        <w:rPr>
          <w:rFonts w:ascii="Times New Roman" w:hAnsi="Times New Roman" w:cs="Times New Roman"/>
          <w:b/>
          <w:sz w:val="28"/>
          <w:szCs w:val="28"/>
        </w:rPr>
        <w:t>ализации и итоговой оценке эффективнос</w:t>
      </w:r>
      <w:r w:rsidR="00621FB2" w:rsidRPr="00F17A7D">
        <w:rPr>
          <w:rFonts w:ascii="Times New Roman" w:hAnsi="Times New Roman" w:cs="Times New Roman"/>
          <w:b/>
          <w:sz w:val="28"/>
          <w:szCs w:val="28"/>
        </w:rPr>
        <w:t>т</w:t>
      </w:r>
      <w:r w:rsidR="000677DB" w:rsidRPr="00F17A7D">
        <w:rPr>
          <w:rFonts w:ascii="Times New Roman" w:hAnsi="Times New Roman" w:cs="Times New Roman"/>
          <w:b/>
          <w:sz w:val="28"/>
          <w:szCs w:val="28"/>
        </w:rPr>
        <w:t>и муници</w:t>
      </w:r>
      <w:r w:rsidR="000677DB" w:rsidRPr="00920C0E">
        <w:rPr>
          <w:rFonts w:ascii="Times New Roman" w:hAnsi="Times New Roman" w:cs="Times New Roman"/>
          <w:b/>
          <w:sz w:val="28"/>
          <w:szCs w:val="28"/>
        </w:rPr>
        <w:t>пальных программ за 202</w:t>
      </w:r>
      <w:r w:rsidR="0064010D" w:rsidRPr="00920C0E">
        <w:rPr>
          <w:rFonts w:ascii="Times New Roman" w:hAnsi="Times New Roman" w:cs="Times New Roman"/>
          <w:b/>
          <w:sz w:val="28"/>
          <w:szCs w:val="28"/>
        </w:rPr>
        <w:t>5</w:t>
      </w:r>
      <w:r w:rsidRPr="00920C0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8764A" w:rsidRPr="00920C0E" w:rsidRDefault="00D348A7" w:rsidP="00987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9777DB" w:rsidRPr="00920C0E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реализации  муниципальных программ </w:t>
      </w:r>
      <w:proofErr w:type="spellStart"/>
      <w:r w:rsidR="009777DB"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9777DB" w:rsidRPr="00920C0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37503" w:rsidRPr="00920C0E">
        <w:rPr>
          <w:rFonts w:ascii="Times New Roman" w:hAnsi="Times New Roman" w:cs="Times New Roman"/>
          <w:sz w:val="24"/>
          <w:szCs w:val="24"/>
        </w:rPr>
        <w:t>округа</w:t>
      </w:r>
      <w:r w:rsidR="009777DB" w:rsidRPr="00920C0E">
        <w:rPr>
          <w:rFonts w:ascii="Times New Roman" w:hAnsi="Times New Roman" w:cs="Times New Roman"/>
          <w:sz w:val="24"/>
          <w:szCs w:val="24"/>
        </w:rPr>
        <w:t>, на основании предоставленных отчетов исполнителями програм</w:t>
      </w:r>
      <w:r w:rsidR="00E445CD" w:rsidRPr="00920C0E">
        <w:rPr>
          <w:rFonts w:ascii="Times New Roman" w:hAnsi="Times New Roman" w:cs="Times New Roman"/>
          <w:sz w:val="24"/>
          <w:szCs w:val="24"/>
        </w:rPr>
        <w:t>м, выявлены следующие данные.</w:t>
      </w:r>
    </w:p>
    <w:p w:rsidR="00177657" w:rsidRPr="00920C0E" w:rsidRDefault="003C09C5" w:rsidP="00177657">
      <w:pPr>
        <w:widowControl w:val="0"/>
        <w:autoSpaceDE w:val="0"/>
        <w:spacing w:after="0"/>
        <w:ind w:firstLine="567"/>
        <w:jc w:val="both"/>
      </w:pPr>
      <w:r w:rsidRPr="00920C0E">
        <w:rPr>
          <w:rFonts w:ascii="Times New Roman" w:hAnsi="Times New Roman"/>
          <w:sz w:val="24"/>
          <w:szCs w:val="24"/>
        </w:rPr>
        <w:t xml:space="preserve"> </w:t>
      </w:r>
      <w:r w:rsidR="00177657" w:rsidRPr="00920C0E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малоимущих граждан при газификации домовладений в </w:t>
      </w:r>
      <w:proofErr w:type="spellStart"/>
      <w:r w:rsidR="00177657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177657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округа на 2024</w:t>
      </w:r>
      <w:r w:rsidR="00177657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025FCE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177657" w:rsidRPr="00920C0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177657"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 </w:t>
      </w:r>
      <w:r w:rsidR="00025FCE" w:rsidRPr="00920C0E">
        <w:rPr>
          <w:rFonts w:ascii="Times New Roman" w:hAnsi="Times New Roman" w:cs="Times New Roman"/>
          <w:sz w:val="24"/>
          <w:szCs w:val="24"/>
        </w:rPr>
        <w:t>этой программе исполнены на 16</w:t>
      </w:r>
      <w:r w:rsidR="00177657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</w:t>
      </w:r>
      <w:r w:rsidR="00025FCE" w:rsidRPr="00920C0E">
        <w:rPr>
          <w:rFonts w:ascii="Times New Roman" w:hAnsi="Times New Roman" w:cs="Times New Roman"/>
          <w:sz w:val="24"/>
          <w:szCs w:val="24"/>
        </w:rPr>
        <w:t xml:space="preserve"> не </w:t>
      </w:r>
      <w:r w:rsidR="00177657" w:rsidRPr="00920C0E">
        <w:rPr>
          <w:rFonts w:ascii="Times New Roman" w:hAnsi="Times New Roman" w:cs="Times New Roman"/>
          <w:sz w:val="24"/>
          <w:szCs w:val="24"/>
        </w:rPr>
        <w:t>реализованы</w:t>
      </w:r>
      <w:r w:rsidR="00025FCE" w:rsidRPr="00920C0E">
        <w:rPr>
          <w:rFonts w:ascii="Times New Roman" w:hAnsi="Times New Roman" w:cs="Times New Roman"/>
          <w:sz w:val="24"/>
          <w:szCs w:val="24"/>
        </w:rPr>
        <w:t>.</w:t>
      </w:r>
      <w:r w:rsidR="00177657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025FCE" w:rsidRPr="00920C0E">
        <w:rPr>
          <w:rFonts w:ascii="Times New Roman" w:hAnsi="Times New Roman" w:cs="Times New Roman"/>
          <w:sz w:val="24"/>
          <w:szCs w:val="24"/>
        </w:rPr>
        <w:t>Исполнение по индикаторам 16%. Оценку</w:t>
      </w:r>
      <w:r w:rsidR="00177657" w:rsidRPr="00920C0E">
        <w:rPr>
          <w:rFonts w:ascii="Times New Roman" w:hAnsi="Times New Roman" w:cs="Times New Roman"/>
          <w:sz w:val="24"/>
          <w:szCs w:val="24"/>
        </w:rPr>
        <w:t xml:space="preserve"> эффективности программы </w:t>
      </w:r>
      <w:r w:rsidR="00025FCE" w:rsidRPr="00920C0E">
        <w:rPr>
          <w:rFonts w:ascii="Times New Roman" w:hAnsi="Times New Roman" w:cs="Times New Roman"/>
          <w:sz w:val="24"/>
          <w:szCs w:val="24"/>
        </w:rPr>
        <w:t xml:space="preserve">нет возможности </w:t>
      </w:r>
      <w:proofErr w:type="spellStart"/>
      <w:r w:rsidR="00025FCE" w:rsidRPr="00920C0E">
        <w:rPr>
          <w:rFonts w:ascii="Times New Roman" w:hAnsi="Times New Roman" w:cs="Times New Roman"/>
          <w:sz w:val="24"/>
          <w:szCs w:val="24"/>
        </w:rPr>
        <w:t>расчитать</w:t>
      </w:r>
      <w:proofErr w:type="spellEnd"/>
      <w:r w:rsidR="00177657" w:rsidRPr="00920C0E">
        <w:rPr>
          <w:rFonts w:ascii="Times New Roman" w:hAnsi="Times New Roman" w:cs="Times New Roman"/>
          <w:sz w:val="24"/>
          <w:szCs w:val="24"/>
        </w:rPr>
        <w:t>.</w:t>
      </w:r>
    </w:p>
    <w:p w:rsidR="00920C0E" w:rsidRDefault="00920C0E" w:rsidP="00F4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5" w:rsidRPr="00920C0E" w:rsidRDefault="00025FCE" w:rsidP="00F4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граждан </w:t>
      </w:r>
      <w:proofErr w:type="spellStart"/>
      <w:r w:rsidR="003C09C5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>6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6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год». 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Бюджетные ассигнования по этой программе исполнены на </w:t>
      </w:r>
      <w:r w:rsidR="00A81355" w:rsidRPr="00920C0E">
        <w:rPr>
          <w:rFonts w:ascii="Times New Roman" w:hAnsi="Times New Roman" w:cs="Times New Roman"/>
          <w:sz w:val="24"/>
          <w:szCs w:val="24"/>
        </w:rPr>
        <w:t>87,1</w:t>
      </w:r>
      <w:r w:rsidR="003C09C5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A81355" w:rsidRPr="00920C0E">
        <w:rPr>
          <w:rFonts w:ascii="Times New Roman" w:hAnsi="Times New Roman" w:cs="Times New Roman"/>
          <w:sz w:val="24"/>
          <w:szCs w:val="24"/>
        </w:rPr>
        <w:t>е мероприятия реализованы на 80</w:t>
      </w:r>
      <w:r w:rsidR="005C73BF" w:rsidRPr="00920C0E">
        <w:rPr>
          <w:rFonts w:ascii="Times New Roman" w:hAnsi="Times New Roman" w:cs="Times New Roman"/>
          <w:sz w:val="24"/>
          <w:szCs w:val="24"/>
        </w:rPr>
        <w:t>%</w:t>
      </w:r>
      <w:r w:rsidR="00A81355" w:rsidRPr="00920C0E">
        <w:rPr>
          <w:rFonts w:ascii="Times New Roman" w:hAnsi="Times New Roman" w:cs="Times New Roman"/>
          <w:sz w:val="24"/>
          <w:szCs w:val="24"/>
        </w:rPr>
        <w:t>, исполнение по индикаторам 46,2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B73382" w:rsidRPr="00920C0E">
        <w:rPr>
          <w:rFonts w:ascii="Times New Roman" w:hAnsi="Times New Roman" w:cs="Times New Roman"/>
          <w:sz w:val="24"/>
          <w:szCs w:val="24"/>
        </w:rPr>
        <w:t>неудовлетворенная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09C5" w:rsidRPr="00920C0E" w:rsidRDefault="003C09C5" w:rsidP="00F4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75B6" w:rsidRPr="00920C0E">
        <w:rPr>
          <w:rFonts w:ascii="Times New Roman" w:hAnsi="Times New Roman" w:cs="Times New Roman"/>
          <w:sz w:val="24"/>
          <w:szCs w:val="24"/>
        </w:rPr>
        <w:t>В рамках программы реализуются такие мероприятия как: е</w:t>
      </w:r>
      <w:r w:rsidRPr="00920C0E">
        <w:rPr>
          <w:rFonts w:ascii="Times New Roman" w:hAnsi="Times New Roman" w:cs="Times New Roman"/>
          <w:sz w:val="24"/>
          <w:szCs w:val="24"/>
        </w:rPr>
        <w:t>жемесячные денежные выплаты и ежегодная оплата путевки санаторно-курортного лечения (либо выплата компенсаций за неиспользованную путевку) Почетны</w:t>
      </w:r>
      <w:r w:rsidR="00F475B6" w:rsidRPr="00920C0E">
        <w:rPr>
          <w:rFonts w:ascii="Times New Roman" w:hAnsi="Times New Roman" w:cs="Times New Roman"/>
          <w:sz w:val="24"/>
          <w:szCs w:val="24"/>
        </w:rPr>
        <w:t xml:space="preserve">м гражданам </w:t>
      </w:r>
      <w:proofErr w:type="spellStart"/>
      <w:r w:rsidR="00F475B6"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F475B6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920C0E">
        <w:rPr>
          <w:rFonts w:ascii="Times New Roman" w:hAnsi="Times New Roman" w:cs="Times New Roman"/>
          <w:sz w:val="24"/>
          <w:szCs w:val="24"/>
        </w:rPr>
        <w:t>округа</w:t>
      </w:r>
      <w:r w:rsidR="00F475B6" w:rsidRPr="00920C0E">
        <w:rPr>
          <w:rFonts w:ascii="Times New Roman" w:hAnsi="Times New Roman" w:cs="Times New Roman"/>
          <w:sz w:val="24"/>
          <w:szCs w:val="24"/>
        </w:rPr>
        <w:t>;   е</w:t>
      </w:r>
      <w:r w:rsidRPr="00920C0E">
        <w:rPr>
          <w:rFonts w:ascii="Times New Roman" w:hAnsi="Times New Roman" w:cs="Times New Roman"/>
          <w:sz w:val="24"/>
          <w:szCs w:val="24"/>
        </w:rPr>
        <w:t xml:space="preserve">жемесячные денежные выплаты Почетным ветеранам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920C0E">
        <w:rPr>
          <w:rFonts w:ascii="Times New Roman" w:hAnsi="Times New Roman" w:cs="Times New Roman"/>
          <w:sz w:val="24"/>
          <w:szCs w:val="24"/>
        </w:rPr>
        <w:t>округа</w:t>
      </w:r>
      <w:r w:rsidR="00F475B6" w:rsidRPr="00920C0E">
        <w:rPr>
          <w:rFonts w:ascii="Times New Roman" w:hAnsi="Times New Roman" w:cs="Times New Roman"/>
          <w:sz w:val="24"/>
          <w:szCs w:val="24"/>
        </w:rPr>
        <w:t>; в</w:t>
      </w:r>
      <w:r w:rsidRPr="00920C0E">
        <w:rPr>
          <w:rFonts w:ascii="Times New Roman" w:hAnsi="Times New Roman" w:cs="Times New Roman"/>
          <w:sz w:val="24"/>
          <w:szCs w:val="24"/>
        </w:rPr>
        <w:t xml:space="preserve">ыделение денежных средств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организации Всероссийское общество инвалидов</w:t>
      </w:r>
      <w:r w:rsidR="00F475B6" w:rsidRPr="00920C0E">
        <w:rPr>
          <w:rFonts w:ascii="Times New Roman" w:hAnsi="Times New Roman" w:cs="Times New Roman"/>
          <w:sz w:val="24"/>
          <w:szCs w:val="24"/>
        </w:rPr>
        <w:t>; п</w:t>
      </w:r>
      <w:r w:rsidRPr="00920C0E">
        <w:rPr>
          <w:rFonts w:ascii="Times New Roman" w:hAnsi="Times New Roman" w:cs="Times New Roman"/>
          <w:sz w:val="24"/>
          <w:szCs w:val="24"/>
        </w:rPr>
        <w:t>редоставление материальной помощи гражданам, находящи</w:t>
      </w:r>
      <w:r w:rsidR="00F475B6" w:rsidRPr="00920C0E">
        <w:rPr>
          <w:rFonts w:ascii="Times New Roman" w:hAnsi="Times New Roman" w:cs="Times New Roman"/>
          <w:sz w:val="24"/>
          <w:szCs w:val="24"/>
        </w:rPr>
        <w:t>мся в трудной жизненной ситуации; п</w:t>
      </w:r>
      <w:r w:rsidRPr="00920C0E">
        <w:rPr>
          <w:rFonts w:ascii="Times New Roman" w:hAnsi="Times New Roman" w:cs="Times New Roman"/>
          <w:sz w:val="24"/>
          <w:szCs w:val="24"/>
        </w:rPr>
        <w:t xml:space="preserve">редоставление права на бесплатный проезд беременным женщинам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920C0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C42B79" w:rsidRPr="00920C0E" w:rsidRDefault="00C42B79" w:rsidP="00F4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89" w:rsidRPr="00920C0E" w:rsidRDefault="003C09C5" w:rsidP="003C0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1EE5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D89" w:rsidRPr="00920C0E">
        <w:rPr>
          <w:rFonts w:ascii="Times New Roman" w:hAnsi="Times New Roman" w:cs="Times New Roman"/>
          <w:b/>
          <w:sz w:val="24"/>
          <w:szCs w:val="24"/>
        </w:rPr>
        <w:t xml:space="preserve">«Обеспечение жильем молодых семей </w:t>
      </w:r>
      <w:proofErr w:type="spellStart"/>
      <w:r w:rsidR="00C84D89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C84D89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ьного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на период 20</w:t>
      </w:r>
      <w:r w:rsidR="00BE618C" w:rsidRPr="00920C0E">
        <w:rPr>
          <w:rFonts w:ascii="Times New Roman" w:hAnsi="Times New Roman" w:cs="Times New Roman"/>
          <w:b/>
          <w:sz w:val="24"/>
          <w:szCs w:val="24"/>
        </w:rPr>
        <w:t>25</w:t>
      </w:r>
      <w:r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BE618C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C84D89" w:rsidRPr="00920C0E">
        <w:rPr>
          <w:rFonts w:ascii="Times New Roman" w:hAnsi="Times New Roman" w:cs="Times New Roman"/>
          <w:b/>
          <w:sz w:val="24"/>
          <w:szCs w:val="24"/>
        </w:rPr>
        <w:t xml:space="preserve"> годы».  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Бюджетные ассигнования по </w:t>
      </w:r>
      <w:r w:rsidR="00BE618C" w:rsidRPr="00920C0E">
        <w:rPr>
          <w:rFonts w:ascii="Times New Roman" w:hAnsi="Times New Roman" w:cs="Times New Roman"/>
          <w:sz w:val="24"/>
          <w:szCs w:val="24"/>
        </w:rPr>
        <w:t>этой программе исполнены на 27,8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% от плана. Запланированные </w:t>
      </w:r>
      <w:r w:rsidR="00BE618C" w:rsidRPr="00920C0E">
        <w:rPr>
          <w:rFonts w:ascii="Times New Roman" w:hAnsi="Times New Roman" w:cs="Times New Roman"/>
          <w:sz w:val="24"/>
          <w:szCs w:val="24"/>
        </w:rPr>
        <w:t>мероприятия реализованы на 50%, исполнение по индикаторам 0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%. Соответственно степень эффективности программы </w:t>
      </w:r>
      <w:r w:rsidR="00BE618C" w:rsidRPr="00920C0E">
        <w:rPr>
          <w:rFonts w:ascii="Times New Roman" w:hAnsi="Times New Roman" w:cs="Times New Roman"/>
          <w:sz w:val="24"/>
          <w:szCs w:val="24"/>
        </w:rPr>
        <w:t>не имеет возможности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0C0E" w:rsidRDefault="003C09C5" w:rsidP="00F475B6">
      <w:pPr>
        <w:pStyle w:val="a4"/>
        <w:snapToGrid w:val="0"/>
        <w:ind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20C0E"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</w:p>
    <w:p w:rsidR="003C09C5" w:rsidRPr="00920C0E" w:rsidRDefault="00920C0E" w:rsidP="00F475B6">
      <w:pPr>
        <w:pStyle w:val="a4"/>
        <w:snapToGrid w:val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 xml:space="preserve">«Управление муниципальными финансами </w:t>
      </w:r>
      <w:proofErr w:type="spellStart"/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>Пильнинского</w:t>
      </w:r>
      <w:proofErr w:type="spellEnd"/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</w:t>
      </w:r>
      <w:r w:rsidR="009F3627" w:rsidRPr="00920C0E">
        <w:rPr>
          <w:rFonts w:ascii="Times New Roman" w:hAnsi="Times New Roman"/>
          <w:b/>
          <w:sz w:val="24"/>
          <w:szCs w:val="24"/>
          <w:lang w:val="ru-RU"/>
        </w:rPr>
        <w:t xml:space="preserve">округа </w:t>
      </w:r>
      <w:r w:rsidR="00C002E5" w:rsidRPr="00920C0E">
        <w:rPr>
          <w:rFonts w:ascii="Times New Roman" w:hAnsi="Times New Roman"/>
          <w:b/>
          <w:sz w:val="24"/>
          <w:szCs w:val="24"/>
          <w:lang w:val="ru-RU"/>
        </w:rPr>
        <w:t>Нижегородской области на 2023</w:t>
      </w:r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CF56AE" w:rsidRPr="00920C0E">
        <w:rPr>
          <w:rFonts w:ascii="Times New Roman" w:hAnsi="Times New Roman"/>
          <w:b/>
          <w:sz w:val="24"/>
          <w:szCs w:val="24"/>
          <w:lang w:val="ru-RU"/>
        </w:rPr>
        <w:t>7</w:t>
      </w:r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 xml:space="preserve"> годы»</w:t>
      </w:r>
      <w:r w:rsidR="003C09C5" w:rsidRPr="00920C0E">
        <w:rPr>
          <w:rFonts w:ascii="Times New Roman" w:hAnsi="Times New Roman"/>
          <w:sz w:val="24"/>
          <w:szCs w:val="24"/>
          <w:lang w:val="ru-RU"/>
        </w:rPr>
        <w:t>. Бюджетны</w:t>
      </w:r>
      <w:r w:rsidR="00886BBF" w:rsidRPr="00920C0E">
        <w:rPr>
          <w:rFonts w:ascii="Times New Roman" w:hAnsi="Times New Roman"/>
          <w:sz w:val="24"/>
          <w:szCs w:val="24"/>
          <w:lang w:val="ru-RU"/>
        </w:rPr>
        <w:t xml:space="preserve">е ассигнования исполнены на </w:t>
      </w:r>
      <w:r w:rsidR="00CF56AE" w:rsidRPr="00920C0E">
        <w:rPr>
          <w:rFonts w:ascii="Times New Roman" w:hAnsi="Times New Roman"/>
          <w:sz w:val="24"/>
          <w:szCs w:val="24"/>
          <w:lang w:val="ru-RU"/>
        </w:rPr>
        <w:t>79</w:t>
      </w:r>
      <w:r w:rsidR="003C09C5" w:rsidRPr="00920C0E">
        <w:rPr>
          <w:rFonts w:ascii="Times New Roman" w:hAnsi="Times New Roman"/>
          <w:sz w:val="24"/>
          <w:szCs w:val="24"/>
          <w:lang w:val="ru-RU"/>
        </w:rPr>
        <w:t>% от плана. Запланированные мероприятия реализованы на 100</w:t>
      </w:r>
      <w:r w:rsidR="00CF56AE" w:rsidRPr="00920C0E">
        <w:rPr>
          <w:rFonts w:ascii="Times New Roman" w:hAnsi="Times New Roman"/>
          <w:sz w:val="24"/>
          <w:szCs w:val="24"/>
          <w:lang w:val="ru-RU"/>
        </w:rPr>
        <w:t>%</w:t>
      </w:r>
      <w:r w:rsidR="00EB4F81">
        <w:rPr>
          <w:rFonts w:ascii="Times New Roman" w:hAnsi="Times New Roman"/>
          <w:sz w:val="24"/>
          <w:szCs w:val="24"/>
          <w:lang w:val="ru-RU"/>
        </w:rPr>
        <w:t xml:space="preserve">, исполнение по индикаторам </w:t>
      </w:r>
      <w:r w:rsidR="00EB4F81" w:rsidRPr="008179D6">
        <w:rPr>
          <w:rFonts w:ascii="Times New Roman" w:hAnsi="Times New Roman"/>
          <w:sz w:val="24"/>
          <w:szCs w:val="24"/>
          <w:lang w:val="ru-RU"/>
        </w:rPr>
        <w:t>138</w:t>
      </w:r>
      <w:r w:rsidR="00CF56AE" w:rsidRPr="008179D6">
        <w:rPr>
          <w:rFonts w:ascii="Times New Roman" w:hAnsi="Times New Roman"/>
          <w:sz w:val="24"/>
          <w:szCs w:val="24"/>
          <w:lang w:val="ru-RU"/>
        </w:rPr>
        <w:t>,3</w:t>
      </w:r>
      <w:r w:rsidR="003C09C5" w:rsidRPr="008179D6">
        <w:rPr>
          <w:rFonts w:ascii="Times New Roman" w:hAnsi="Times New Roman"/>
          <w:sz w:val="24"/>
          <w:szCs w:val="24"/>
          <w:lang w:val="ru-RU"/>
        </w:rPr>
        <w:t>%.</w:t>
      </w:r>
      <w:r w:rsidR="003C09C5" w:rsidRPr="00920C0E">
        <w:rPr>
          <w:rFonts w:ascii="Times New Roman" w:hAnsi="Times New Roman"/>
          <w:sz w:val="24"/>
          <w:szCs w:val="24"/>
          <w:lang w:val="ru-RU"/>
        </w:rPr>
        <w:t xml:space="preserve"> Оценка степени эффективности программы высокая. В результате реализации данной подпрограммы достигнуты следующие результаты: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Своевременно и качественно планируется бюджет на очередной финансовый год и среднесрочный финансовый план на среднесрочную перспективу.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На протяжении ряда лет муниципальный долг района составляет нулевое значение, что позволяет сохранить долговую устойчивость </w:t>
      </w:r>
      <w:r w:rsidR="009F3627" w:rsidRPr="00920C0E">
        <w:rPr>
          <w:rFonts w:ascii="Times New Roman" w:hAnsi="Times New Roman"/>
          <w:sz w:val="24"/>
          <w:szCs w:val="24"/>
        </w:rPr>
        <w:t>местного</w:t>
      </w:r>
      <w:r w:rsidRPr="00920C0E">
        <w:rPr>
          <w:rFonts w:ascii="Times New Roman" w:hAnsi="Times New Roman"/>
          <w:sz w:val="24"/>
          <w:szCs w:val="24"/>
        </w:rPr>
        <w:t xml:space="preserve"> бюджета.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Ведется Муниципальная долговая книга </w:t>
      </w:r>
      <w:r w:rsidR="009F3627" w:rsidRPr="00920C0E">
        <w:rPr>
          <w:rFonts w:ascii="Times New Roman" w:hAnsi="Times New Roman"/>
          <w:sz w:val="24"/>
          <w:szCs w:val="24"/>
        </w:rPr>
        <w:t>округа</w:t>
      </w:r>
      <w:r w:rsidRPr="00920C0E">
        <w:rPr>
          <w:rFonts w:ascii="Times New Roman" w:hAnsi="Times New Roman"/>
          <w:sz w:val="24"/>
          <w:szCs w:val="24"/>
        </w:rPr>
        <w:t xml:space="preserve">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Сектором финансового контроля финансового управления администрации осуществляются полномочия по внутреннему финансовому контролю за соблюдением законодательства Российской Федерации и Нижегородской области при использовании средств </w:t>
      </w:r>
      <w:r w:rsidR="009F3627" w:rsidRPr="00920C0E">
        <w:rPr>
          <w:rFonts w:ascii="Times New Roman" w:hAnsi="Times New Roman"/>
          <w:sz w:val="24"/>
          <w:szCs w:val="24"/>
        </w:rPr>
        <w:t>местного</w:t>
      </w:r>
      <w:r w:rsidRPr="00920C0E">
        <w:rPr>
          <w:rFonts w:ascii="Times New Roman" w:hAnsi="Times New Roman"/>
          <w:sz w:val="24"/>
          <w:szCs w:val="24"/>
        </w:rPr>
        <w:t xml:space="preserve"> бюджета, а также имущества, находящегося в муниципальной собственности </w:t>
      </w:r>
      <w:r w:rsidR="009F3627" w:rsidRPr="00920C0E">
        <w:rPr>
          <w:rFonts w:ascii="Times New Roman" w:hAnsi="Times New Roman"/>
          <w:sz w:val="24"/>
          <w:szCs w:val="24"/>
        </w:rPr>
        <w:t>округа</w:t>
      </w:r>
      <w:r w:rsidRPr="00920C0E">
        <w:rPr>
          <w:rFonts w:ascii="Times New Roman" w:hAnsi="Times New Roman"/>
          <w:sz w:val="24"/>
          <w:szCs w:val="24"/>
        </w:rPr>
        <w:t>.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На протяжении ряда лет отсутствует просроченная кредиторская задолженность.</w:t>
      </w:r>
    </w:p>
    <w:p w:rsid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C09C5" w:rsidRPr="00920C0E" w:rsidRDefault="00920C0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«Улучшение экологической обстановки в </w:t>
      </w:r>
      <w:proofErr w:type="spellStart"/>
      <w:r w:rsidR="003C09C5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округе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 xml:space="preserve"> на 2024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>-</w:t>
      </w:r>
      <w:r w:rsidR="00316D07" w:rsidRPr="00920C0E">
        <w:rPr>
          <w:rFonts w:ascii="Times New Roman" w:hAnsi="Times New Roman" w:cs="Times New Roman"/>
          <w:b/>
          <w:sz w:val="24"/>
          <w:szCs w:val="24"/>
        </w:rPr>
        <w:t>202</w:t>
      </w:r>
      <w:r w:rsidR="0064010D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4A2081" w:rsidRPr="00920C0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3C09C5" w:rsidRPr="00920C0E">
        <w:rPr>
          <w:rFonts w:ascii="Times New Roman" w:hAnsi="Times New Roman" w:cs="Times New Roman"/>
          <w:sz w:val="24"/>
          <w:szCs w:val="24"/>
        </w:rPr>
        <w:t>Ресурсное обеспечение по</w:t>
      </w:r>
      <w:r w:rsidR="00C672C2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4A2081" w:rsidRPr="00920C0E">
        <w:rPr>
          <w:rFonts w:ascii="Times New Roman" w:hAnsi="Times New Roman" w:cs="Times New Roman"/>
          <w:sz w:val="24"/>
          <w:szCs w:val="24"/>
        </w:rPr>
        <w:t xml:space="preserve">этой программе </w:t>
      </w:r>
      <w:r w:rsidR="007A720A" w:rsidRPr="00920C0E">
        <w:rPr>
          <w:rFonts w:ascii="Times New Roman" w:hAnsi="Times New Roman" w:cs="Times New Roman"/>
          <w:sz w:val="24"/>
          <w:szCs w:val="24"/>
        </w:rPr>
        <w:t xml:space="preserve">исполнены на </w:t>
      </w:r>
      <w:r w:rsidR="0064010D" w:rsidRPr="00920C0E">
        <w:rPr>
          <w:rFonts w:ascii="Times New Roman" w:hAnsi="Times New Roman" w:cs="Times New Roman"/>
          <w:sz w:val="24"/>
          <w:szCs w:val="24"/>
        </w:rPr>
        <w:t>19,3</w:t>
      </w:r>
      <w:r w:rsidR="003C09C5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316D07" w:rsidRPr="00920C0E">
        <w:rPr>
          <w:rFonts w:ascii="Times New Roman" w:hAnsi="Times New Roman" w:cs="Times New Roman"/>
          <w:sz w:val="24"/>
          <w:szCs w:val="24"/>
        </w:rPr>
        <w:t>е</w:t>
      </w:r>
      <w:r w:rsidR="0064010D" w:rsidRPr="00920C0E">
        <w:rPr>
          <w:rFonts w:ascii="Times New Roman" w:hAnsi="Times New Roman" w:cs="Times New Roman"/>
          <w:sz w:val="24"/>
          <w:szCs w:val="24"/>
        </w:rPr>
        <w:t xml:space="preserve"> мероприятия реализованы на 85,7</w:t>
      </w:r>
      <w:r w:rsidR="003C09C5" w:rsidRPr="00920C0E">
        <w:rPr>
          <w:rFonts w:ascii="Times New Roman" w:hAnsi="Times New Roman" w:cs="Times New Roman"/>
          <w:sz w:val="24"/>
          <w:szCs w:val="24"/>
        </w:rPr>
        <w:t>%, исполнение по индикатора</w:t>
      </w:r>
      <w:r w:rsidR="0064010D" w:rsidRPr="00920C0E">
        <w:rPr>
          <w:rFonts w:ascii="Times New Roman" w:hAnsi="Times New Roman" w:cs="Times New Roman"/>
          <w:sz w:val="24"/>
          <w:szCs w:val="24"/>
        </w:rPr>
        <w:t>м 67,7</w:t>
      </w:r>
      <w:r w:rsidR="003C09C5" w:rsidRPr="00920C0E">
        <w:rPr>
          <w:rFonts w:ascii="Times New Roman" w:hAnsi="Times New Roman" w:cs="Times New Roman"/>
          <w:sz w:val="24"/>
          <w:szCs w:val="24"/>
        </w:rPr>
        <w:t>%.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Соответственно оценка степени эффективности программы высокая.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рамках программы п</w:t>
      </w:r>
      <w:r w:rsidRPr="00920C0E">
        <w:rPr>
          <w:rFonts w:ascii="Times New Roman" w:hAnsi="Times New Roman"/>
          <w:sz w:val="24"/>
          <w:szCs w:val="24"/>
        </w:rPr>
        <w:t xml:space="preserve">осажено </w:t>
      </w:r>
      <w:r w:rsidR="0064010D" w:rsidRPr="00920C0E">
        <w:rPr>
          <w:rFonts w:ascii="Times New Roman" w:hAnsi="Times New Roman"/>
          <w:sz w:val="24"/>
          <w:szCs w:val="24"/>
        </w:rPr>
        <w:t>100 л</w:t>
      </w:r>
      <w:r w:rsidRPr="00920C0E">
        <w:rPr>
          <w:rFonts w:ascii="Times New Roman" w:hAnsi="Times New Roman"/>
          <w:sz w:val="24"/>
          <w:szCs w:val="24"/>
        </w:rPr>
        <w:t>иственных деревьев</w:t>
      </w:r>
      <w:r w:rsidR="0064010D" w:rsidRPr="00920C0E">
        <w:rPr>
          <w:rFonts w:ascii="Times New Roman" w:hAnsi="Times New Roman"/>
          <w:sz w:val="24"/>
          <w:szCs w:val="24"/>
        </w:rPr>
        <w:t>,</w:t>
      </w:r>
      <w:r w:rsidRPr="00920C0E">
        <w:rPr>
          <w:rFonts w:ascii="Times New Roman" w:hAnsi="Times New Roman"/>
          <w:sz w:val="24"/>
          <w:szCs w:val="24"/>
        </w:rPr>
        <w:t xml:space="preserve"> </w:t>
      </w:r>
      <w:r w:rsidR="0064010D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3,0 га леса в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лесничестве</w:t>
      </w:r>
      <w:r w:rsidR="0064010D" w:rsidRPr="00920C0E">
        <w:rPr>
          <w:rFonts w:ascii="Times New Roman" w:hAnsi="Times New Roman"/>
          <w:sz w:val="24"/>
          <w:szCs w:val="24"/>
        </w:rPr>
        <w:t xml:space="preserve"> д. Ясная поляна</w:t>
      </w:r>
      <w:r w:rsidRPr="00920C0E">
        <w:rPr>
          <w:rFonts w:ascii="Times New Roman" w:hAnsi="Times New Roman"/>
          <w:sz w:val="24"/>
          <w:szCs w:val="24"/>
        </w:rPr>
        <w:t xml:space="preserve">, проведено 20 </w:t>
      </w:r>
      <w:r w:rsidR="008B465E" w:rsidRPr="00920C0E">
        <w:rPr>
          <w:rFonts w:ascii="Times New Roman" w:hAnsi="Times New Roman"/>
          <w:sz w:val="24"/>
          <w:szCs w:val="24"/>
        </w:rPr>
        <w:t>уроков по теме «Земля наш дом</w:t>
      </w:r>
      <w:r w:rsidR="004A2081" w:rsidRPr="00920C0E">
        <w:rPr>
          <w:rFonts w:ascii="Times New Roman" w:hAnsi="Times New Roman"/>
          <w:sz w:val="24"/>
          <w:szCs w:val="24"/>
        </w:rPr>
        <w:t>».</w:t>
      </w:r>
    </w:p>
    <w:p w:rsidR="00920C0E" w:rsidRDefault="008B465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20C0E" w:rsidRDefault="00920C0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B465E" w:rsidRPr="00920C0E" w:rsidRDefault="00920C0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8B465E" w:rsidRPr="00920C0E">
        <w:rPr>
          <w:rFonts w:ascii="Times New Roman" w:hAnsi="Times New Roman" w:cs="Times New Roman"/>
          <w:b/>
          <w:sz w:val="24"/>
          <w:szCs w:val="24"/>
        </w:rPr>
        <w:t xml:space="preserve">  «Комплексное развитие систем коммунальной инфраструктуры </w:t>
      </w:r>
      <w:proofErr w:type="spellStart"/>
      <w:r w:rsidR="008B465E" w:rsidRPr="00920C0E">
        <w:rPr>
          <w:rFonts w:ascii="Times New Roman" w:hAnsi="Times New Roman" w:cs="Times New Roman"/>
          <w:b/>
          <w:sz w:val="24"/>
          <w:szCs w:val="24"/>
        </w:rPr>
        <w:t>Пильнинск</w:t>
      </w:r>
      <w:r w:rsidR="00C901A6" w:rsidRPr="00920C0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C901A6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</w:t>
      </w:r>
      <w:r w:rsidR="008B465E" w:rsidRPr="00920C0E">
        <w:rPr>
          <w:rFonts w:ascii="Times New Roman" w:hAnsi="Times New Roman" w:cs="Times New Roman"/>
          <w:b/>
          <w:sz w:val="24"/>
          <w:szCs w:val="24"/>
        </w:rPr>
        <w:t>4-202</w:t>
      </w:r>
      <w:r w:rsidR="00A81355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8B465E" w:rsidRPr="00920C0E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="008B465E" w:rsidRPr="00920C0E">
        <w:rPr>
          <w:rFonts w:ascii="Times New Roman" w:hAnsi="Times New Roman" w:cs="Times New Roman"/>
          <w:sz w:val="24"/>
          <w:szCs w:val="24"/>
        </w:rPr>
        <w:t xml:space="preserve">Бюджетные ассигнования по </w:t>
      </w:r>
      <w:r w:rsidR="00A81355" w:rsidRPr="00920C0E">
        <w:rPr>
          <w:rFonts w:ascii="Times New Roman" w:hAnsi="Times New Roman" w:cs="Times New Roman"/>
          <w:sz w:val="24"/>
          <w:szCs w:val="24"/>
        </w:rPr>
        <w:t>этой программе исполнены на 78,9</w:t>
      </w:r>
      <w:r w:rsidR="008B465E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5C73BF" w:rsidRPr="00920C0E">
        <w:rPr>
          <w:rFonts w:ascii="Times New Roman" w:hAnsi="Times New Roman" w:cs="Times New Roman"/>
          <w:sz w:val="24"/>
          <w:szCs w:val="24"/>
        </w:rPr>
        <w:t>е</w:t>
      </w:r>
      <w:r w:rsidR="006C1244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315BD0" w:rsidRPr="00920C0E">
        <w:rPr>
          <w:rFonts w:ascii="Times New Roman" w:hAnsi="Times New Roman" w:cs="Times New Roman"/>
          <w:sz w:val="24"/>
          <w:szCs w:val="24"/>
        </w:rPr>
        <w:t>мероприятия реализованы на 60,6</w:t>
      </w:r>
      <w:r w:rsidR="008B465E" w:rsidRPr="00920C0E">
        <w:rPr>
          <w:rFonts w:ascii="Times New Roman" w:hAnsi="Times New Roman" w:cs="Times New Roman"/>
          <w:sz w:val="24"/>
          <w:szCs w:val="24"/>
        </w:rPr>
        <w:t>%.</w:t>
      </w:r>
      <w:r w:rsidR="00315BD0" w:rsidRPr="00920C0E">
        <w:rPr>
          <w:rFonts w:ascii="Times New Roman" w:hAnsi="Times New Roman" w:cs="Times New Roman"/>
          <w:sz w:val="24"/>
          <w:szCs w:val="24"/>
        </w:rPr>
        <w:t xml:space="preserve"> исполнение по индикаторам 99</w:t>
      </w:r>
      <w:r w:rsidR="008B465E" w:rsidRPr="00920C0E">
        <w:rPr>
          <w:rFonts w:ascii="Times New Roman" w:hAnsi="Times New Roman" w:cs="Times New Roman"/>
          <w:sz w:val="24"/>
          <w:szCs w:val="24"/>
        </w:rPr>
        <w:t xml:space="preserve">%. Соответственно оценка степени эффективности программы </w:t>
      </w:r>
      <w:r w:rsidR="00C9278B" w:rsidRPr="00920C0E">
        <w:rPr>
          <w:rFonts w:ascii="Times New Roman" w:hAnsi="Times New Roman" w:cs="Times New Roman"/>
          <w:sz w:val="24"/>
          <w:szCs w:val="24"/>
        </w:rPr>
        <w:t>высокая</w:t>
      </w:r>
      <w:r w:rsidR="008B465E" w:rsidRPr="00920C0E">
        <w:rPr>
          <w:rFonts w:ascii="Times New Roman" w:hAnsi="Times New Roman" w:cs="Times New Roman"/>
          <w:sz w:val="24"/>
          <w:szCs w:val="24"/>
        </w:rPr>
        <w:t>.</w:t>
      </w:r>
    </w:p>
    <w:p w:rsidR="00350A7A" w:rsidRPr="00920C0E" w:rsidRDefault="008B465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данной муниципальной программы, целью которой является обеспечение развития коммунальных систем и объектов в соответствии с потребностями жилищного строительства, повышение качества оказываемых потребителям коммунальных услуг, улучшение экологической ситуации были достигнуты следующие результаты</w:t>
      </w:r>
      <w:r w:rsidR="00A7703B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выполнены работы </w:t>
      </w:r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ремонту участков автомобильных дорог общего пользования местного значения, ремонт дорог в </w:t>
      </w:r>
      <w:proofErr w:type="spellStart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Курмыш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Княжиха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Медяна</w:t>
      </w:r>
      <w:proofErr w:type="spellEnd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Пильна, отремонтирован памятник погибшим воинам в ВОВ 1941-1945 годов в с.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Старомочалеи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Наваты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Ожгибовка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Тенекаево</w:t>
      </w:r>
      <w:proofErr w:type="spellEnd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C0E" w:rsidRDefault="00350A7A" w:rsidP="0060635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20C0E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</w:p>
    <w:p w:rsidR="00851BD6" w:rsidRPr="00920C0E" w:rsidRDefault="00920C0E" w:rsidP="0060635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="00350A7A" w:rsidRPr="00920C0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«Развитие агропромышленного комплекса </w:t>
      </w:r>
      <w:proofErr w:type="spellStart"/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>Пильнинского</w:t>
      </w:r>
      <w:proofErr w:type="spellEnd"/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района Ни</w:t>
      </w:r>
      <w:r w:rsidR="00C002E5" w:rsidRPr="00920C0E">
        <w:rPr>
          <w:rFonts w:ascii="Times New Roman" w:hAnsi="Times New Roman"/>
          <w:b/>
          <w:sz w:val="24"/>
          <w:szCs w:val="24"/>
          <w:lang w:val="ru-RU"/>
        </w:rPr>
        <w:t>жегородской области на 2024</w:t>
      </w:r>
      <w:r w:rsidR="00082D47" w:rsidRPr="00920C0E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3F1541" w:rsidRPr="00920C0E">
        <w:rPr>
          <w:rFonts w:ascii="Times New Roman" w:hAnsi="Times New Roman"/>
          <w:b/>
          <w:sz w:val="24"/>
          <w:szCs w:val="24"/>
          <w:lang w:val="ru-RU"/>
        </w:rPr>
        <w:t>7</w:t>
      </w:r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 годы». 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>Ресурсное обеспечение по</w:t>
      </w:r>
      <w:r w:rsidR="00082D47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541" w:rsidRPr="00920C0E">
        <w:rPr>
          <w:rFonts w:ascii="Times New Roman" w:hAnsi="Times New Roman"/>
          <w:sz w:val="24"/>
          <w:szCs w:val="24"/>
          <w:lang w:val="ru-RU"/>
        </w:rPr>
        <w:t>этой программе исполнены на 86,5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>% от плана. Запланированные мероприятия реализованы на 100%,</w:t>
      </w:r>
      <w:r w:rsidR="003F1541" w:rsidRPr="00920C0E">
        <w:rPr>
          <w:rFonts w:ascii="Times New Roman" w:hAnsi="Times New Roman"/>
          <w:sz w:val="24"/>
          <w:szCs w:val="24"/>
          <w:lang w:val="ru-RU"/>
        </w:rPr>
        <w:t xml:space="preserve"> исполнение по индикаторам 96,7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>%.</w:t>
      </w:r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 xml:space="preserve">Оценка степени эффективности программы </w:t>
      </w:r>
      <w:r w:rsidR="003F1541" w:rsidRPr="00920C0E">
        <w:rPr>
          <w:rFonts w:ascii="Times New Roman" w:hAnsi="Times New Roman"/>
          <w:sz w:val="24"/>
          <w:szCs w:val="24"/>
          <w:lang w:val="ru-RU"/>
        </w:rPr>
        <w:t>высокая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82D47" w:rsidRPr="00920C0E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муниципального округа производством сельхозпродукции занимаются 14 СПК, 4 ООО, 27 КФХ, около 1000 жителей округа занято в сельском хозяйстве. Площадь сельхозугодий составляет более 80-ти тыс. га. Посевная площадь в течение 5 лет находится в пределах 50-52 тыс. га. Основное производство в округе занимают зерновые и зернобобовые культуры (60% от общей посевной площади), кормовые культуры (32%), сахарная свекла (6%). </w:t>
      </w:r>
    </w:p>
    <w:p w:rsidR="003F1541" w:rsidRPr="00920C0E" w:rsidRDefault="00082D47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В 2025 году получен рекордный урожай зерновых, </w:t>
      </w:r>
      <w:proofErr w:type="gramStart"/>
      <w:r w:rsidR="003F1541" w:rsidRPr="00920C0E">
        <w:rPr>
          <w:rFonts w:ascii="Times New Roman" w:hAnsi="Times New Roman" w:cs="Times New Roman"/>
          <w:sz w:val="24"/>
          <w:szCs w:val="24"/>
        </w:rPr>
        <w:t>который  составил</w:t>
      </w:r>
      <w:proofErr w:type="gram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104400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т. зерна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в бункерном весе(урожайность составила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34,6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ц./га.)  четвёртый  показатель по </w:t>
      </w:r>
      <w:proofErr w:type="spellStart"/>
      <w:r w:rsidR="003F1541" w:rsidRPr="00920C0E">
        <w:rPr>
          <w:rFonts w:ascii="Times New Roman" w:hAnsi="Times New Roman" w:cs="Times New Roman"/>
          <w:sz w:val="24"/>
          <w:szCs w:val="24"/>
        </w:rPr>
        <w:t>валовке</w:t>
      </w:r>
      <w:proofErr w:type="spell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 в  области, в основном нас опережают районы, где слабо развита отрасль животноводства.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Было заготовлено сенажа </w:t>
      </w:r>
      <w:r w:rsidRPr="00920C0E">
        <w:rPr>
          <w:rFonts w:ascii="Times New Roman" w:hAnsi="Times New Roman" w:cs="Times New Roman"/>
          <w:b/>
          <w:sz w:val="24"/>
          <w:szCs w:val="24"/>
        </w:rPr>
        <w:t>90736 т</w:t>
      </w:r>
      <w:r w:rsidRPr="00920C0E">
        <w:rPr>
          <w:rFonts w:ascii="Times New Roman" w:hAnsi="Times New Roman" w:cs="Times New Roman"/>
          <w:sz w:val="24"/>
          <w:szCs w:val="24"/>
        </w:rPr>
        <w:t xml:space="preserve">. или 129 % к плану. Силоса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103831 </w:t>
      </w:r>
      <w:r w:rsidRPr="00920C0E">
        <w:rPr>
          <w:rFonts w:ascii="Times New Roman" w:hAnsi="Times New Roman" w:cs="Times New Roman"/>
          <w:sz w:val="24"/>
          <w:szCs w:val="24"/>
        </w:rPr>
        <w:t xml:space="preserve">т. или 130 % к плану. В общей сложности вместе с грубыми кормами это 52349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к.ед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или  37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ц.к.ед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усл.гол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. Был создан 2- х, а у кого-то и 3-х годичный запас кормов. Так же было выращено и реализовано сахарной свеклы около 60000 т.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>По</w:t>
      </w:r>
      <w:r w:rsidRPr="00920C0E">
        <w:rPr>
          <w:rFonts w:ascii="Times New Roman" w:hAnsi="Times New Roman" w:cs="Times New Roman"/>
          <w:sz w:val="24"/>
          <w:szCs w:val="24"/>
        </w:rPr>
        <w:t xml:space="preserve">  </w:t>
      </w:r>
      <w:r w:rsidRPr="00920C0E">
        <w:rPr>
          <w:rFonts w:ascii="Times New Roman" w:hAnsi="Times New Roman" w:cs="Times New Roman"/>
          <w:b/>
          <w:sz w:val="24"/>
          <w:szCs w:val="24"/>
        </w:rPr>
        <w:t>зерну</w:t>
      </w:r>
      <w:proofErr w:type="gram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наибольшая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валовка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сельхозорганизаций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:</w:t>
      </w:r>
    </w:p>
    <w:p w:rsidR="003F1541" w:rsidRPr="00920C0E" w:rsidRDefault="003F1541" w:rsidP="003F154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- 14571 т.,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Майданский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»- 7180 т. СПК « Новый путь» - 6441 т.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У них же и наиболее высокая урожайность в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СПК  «</w:t>
      </w:r>
      <w:proofErr w:type="spellStart"/>
      <w:proofErr w:type="gramEnd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- 48,4 ц./га. , 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Майданский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» - 40,5 ц. « Новый путь» - 37,8 ц./га.  Урожайность выше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среднерайонной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в СПК «Восход», «Заря», «Каменский». </w:t>
      </w:r>
      <w:r w:rsidRPr="00920C0E">
        <w:rPr>
          <w:rFonts w:ascii="Times New Roman" w:hAnsi="Times New Roman" w:cs="Times New Roman"/>
          <w:b/>
          <w:sz w:val="24"/>
          <w:szCs w:val="24"/>
        </w:rPr>
        <w:t>Животноводством</w:t>
      </w:r>
      <w:r w:rsidRPr="00920C0E">
        <w:rPr>
          <w:rFonts w:ascii="Times New Roman" w:hAnsi="Times New Roman" w:cs="Times New Roman"/>
          <w:sz w:val="24"/>
          <w:szCs w:val="24"/>
        </w:rPr>
        <w:t xml:space="preserve"> на территории округа по итогам 2025 года занимались 13 сельскохозяйственных организаций и 16 крестьянских (фермерских) хозяйств. В целом  год для животноводства сложился  удачно, приостановилось  снижение поголовья, и на 01.01.2026 г. составило  </w:t>
      </w:r>
      <w:r w:rsidRPr="00920C0E">
        <w:rPr>
          <w:rFonts w:ascii="Times New Roman" w:hAnsi="Times New Roman" w:cs="Times New Roman"/>
          <w:b/>
          <w:sz w:val="24"/>
          <w:szCs w:val="24"/>
        </w:rPr>
        <w:t>17841 гол. КРС и коров 8802 гол</w:t>
      </w:r>
      <w:r w:rsidRPr="00920C0E">
        <w:rPr>
          <w:rFonts w:ascii="Times New Roman" w:hAnsi="Times New Roman" w:cs="Times New Roman"/>
          <w:sz w:val="24"/>
          <w:szCs w:val="24"/>
        </w:rPr>
        <w:t xml:space="preserve">. - это самый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высокий  показатель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по  количеству поголовья в области. Сохранность поголовья – это один </w:t>
      </w:r>
      <w:r w:rsidRPr="00920C0E">
        <w:rPr>
          <w:rFonts w:ascii="Times New Roman" w:hAnsi="Times New Roman" w:cs="Times New Roman"/>
          <w:b/>
          <w:sz w:val="24"/>
          <w:szCs w:val="24"/>
        </w:rPr>
        <w:t>из основных показателей</w:t>
      </w:r>
      <w:r w:rsidRPr="00920C0E">
        <w:rPr>
          <w:rFonts w:ascii="Times New Roman" w:hAnsi="Times New Roman" w:cs="Times New Roman"/>
          <w:sz w:val="24"/>
          <w:szCs w:val="24"/>
        </w:rPr>
        <w:t xml:space="preserve"> работы сельхозпредприятий. Одна из причин сокращения поголовья – недостаток рабочих кадров, люди уходят на пенсию, а достойной замены им нет. Выход из этой ситуации только один – автоматизация производства, который требует значительных капитальных вложений. 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Но, не смотря на все трудности,  за 2025 год </w:t>
      </w:r>
      <w:r w:rsidRPr="00920C0E">
        <w:rPr>
          <w:rFonts w:ascii="Times New Roman" w:hAnsi="Times New Roman" w:cs="Times New Roman"/>
          <w:b/>
          <w:sz w:val="24"/>
          <w:szCs w:val="24"/>
        </w:rPr>
        <w:t>было надоено</w:t>
      </w: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b/>
          <w:sz w:val="24"/>
          <w:szCs w:val="24"/>
        </w:rPr>
        <w:t>50177</w:t>
      </w:r>
      <w:r w:rsidRPr="00920C0E">
        <w:rPr>
          <w:rFonts w:ascii="Times New Roman" w:hAnsi="Times New Roman" w:cs="Times New Roman"/>
          <w:sz w:val="24"/>
          <w:szCs w:val="24"/>
        </w:rPr>
        <w:t xml:space="preserve"> т. молока </w:t>
      </w:r>
      <w:r w:rsidRPr="00920C0E">
        <w:rPr>
          <w:rFonts w:ascii="Times New Roman" w:hAnsi="Times New Roman" w:cs="Times New Roman"/>
          <w:b/>
          <w:sz w:val="24"/>
          <w:szCs w:val="24"/>
        </w:rPr>
        <w:t>, +392т.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к уровню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. Это пока второй показатель по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области .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Надой на </w:t>
      </w:r>
      <w:r w:rsidRPr="00920C0E">
        <w:rPr>
          <w:rFonts w:ascii="Times New Roman" w:hAnsi="Times New Roman" w:cs="Times New Roman"/>
          <w:b/>
          <w:sz w:val="24"/>
          <w:szCs w:val="24"/>
        </w:rPr>
        <w:t>корову составил 5721кг</w:t>
      </w:r>
      <w:r w:rsidRPr="00920C0E">
        <w:rPr>
          <w:rFonts w:ascii="Times New Roman" w:hAnsi="Times New Roman" w:cs="Times New Roman"/>
          <w:sz w:val="24"/>
          <w:szCs w:val="24"/>
        </w:rPr>
        <w:t xml:space="preserve">. </w:t>
      </w:r>
      <w:r w:rsidRPr="00920C0E">
        <w:rPr>
          <w:rFonts w:ascii="Times New Roman" w:hAnsi="Times New Roman" w:cs="Times New Roman"/>
          <w:b/>
          <w:sz w:val="24"/>
          <w:szCs w:val="24"/>
        </w:rPr>
        <w:t>(+20 кг.</w:t>
      </w:r>
      <w:r w:rsidRPr="00920C0E">
        <w:rPr>
          <w:rFonts w:ascii="Times New Roman" w:hAnsi="Times New Roman" w:cs="Times New Roman"/>
          <w:sz w:val="24"/>
          <w:szCs w:val="24"/>
        </w:rPr>
        <w:t xml:space="preserve">), к сожалению, пока ниже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среднеобластного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Лидером по производству молока среди СХО так же по прежнему является: 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» -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6723  (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>- 118) т. молока.; СПК «Оборона страны» - 4914 (+ 123) т.; СПК «Восход» - 3641  (-  15)т. Среди крестьянско-фермерских хозяйств: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Х.Х.» - 4697 (+7) т.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Р.С. – 2618 (+200) т.</w:t>
      </w:r>
    </w:p>
    <w:p w:rsidR="003F1541" w:rsidRPr="00920C0E" w:rsidRDefault="003F1541" w:rsidP="0084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>Наибольший вклад в производство молока  вносят следующие предприятия: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- 13,4% от валового сбора молока;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СПК «Оборона страны» - 9,8 %;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КФХ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Х.Х. – 9,4 %;</w:t>
      </w:r>
    </w:p>
    <w:p w:rsidR="003F1541" w:rsidRPr="00920C0E" w:rsidRDefault="003F1541" w:rsidP="00845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продуктивности</w:t>
      </w:r>
      <w:proofErr w:type="gramEnd"/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920C0E">
        <w:rPr>
          <w:rFonts w:ascii="Times New Roman" w:hAnsi="Times New Roman" w:cs="Times New Roman"/>
          <w:sz w:val="24"/>
          <w:szCs w:val="24"/>
        </w:rPr>
        <w:t xml:space="preserve">амый высокий </w:t>
      </w:r>
      <w:r w:rsidRPr="00920C0E">
        <w:rPr>
          <w:rFonts w:ascii="Times New Roman" w:hAnsi="Times New Roman" w:cs="Times New Roman"/>
          <w:b/>
          <w:sz w:val="24"/>
          <w:szCs w:val="24"/>
        </w:rPr>
        <w:t>надой на корову</w:t>
      </w:r>
      <w:r w:rsidRPr="00920C0E">
        <w:rPr>
          <w:rFonts w:ascii="Times New Roman" w:hAnsi="Times New Roman" w:cs="Times New Roman"/>
          <w:sz w:val="24"/>
          <w:szCs w:val="24"/>
        </w:rPr>
        <w:t xml:space="preserve"> среди сельхоз организаций за 2025 год составил : в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СПК «Восход» - 7283 (-31) кг.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20C0E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- 6792 (-120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) кг; </w:t>
      </w:r>
      <w:r w:rsidRPr="00920C0E">
        <w:rPr>
          <w:rFonts w:ascii="Times New Roman" w:hAnsi="Times New Roman" w:cs="Times New Roman"/>
          <w:sz w:val="24"/>
          <w:szCs w:val="24"/>
        </w:rPr>
        <w:t>СПК « Им. Кирова» - 6258 (+717)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По КФХ: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Х.Х» - 8603(+13) кг.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20C0E">
        <w:rPr>
          <w:rFonts w:ascii="Times New Roman" w:hAnsi="Times New Roman" w:cs="Times New Roman"/>
          <w:sz w:val="24"/>
          <w:szCs w:val="24"/>
        </w:rPr>
        <w:t xml:space="preserve">КФХ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Р.С. – 5413 (+299)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кг.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>Т</w:t>
      </w:r>
      <w:r w:rsidRPr="00920C0E">
        <w:rPr>
          <w:rFonts w:ascii="Times New Roman" w:hAnsi="Times New Roman" w:cs="Times New Roman"/>
          <w:sz w:val="24"/>
          <w:szCs w:val="24"/>
        </w:rPr>
        <w:t>акже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показали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рост </w:t>
      </w:r>
      <w:r w:rsidRPr="00920C0E">
        <w:rPr>
          <w:rFonts w:ascii="Times New Roman" w:hAnsi="Times New Roman" w:cs="Times New Roman"/>
          <w:sz w:val="24"/>
          <w:szCs w:val="24"/>
        </w:rPr>
        <w:t>по продуктивности к уровню прошлого года : 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Медяна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», «Заря».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рейтинге Нижегородской области за 2025 год Пильнинский округ  </w:t>
      </w:r>
      <w:r w:rsidRPr="00920C0E">
        <w:rPr>
          <w:rFonts w:ascii="Times New Roman" w:hAnsi="Times New Roman" w:cs="Times New Roman"/>
          <w:b/>
          <w:sz w:val="24"/>
          <w:szCs w:val="24"/>
        </w:rPr>
        <w:t>- по численности поголовья коров в СХО и КФХ</w:t>
      </w:r>
      <w:r w:rsidRPr="00920C0E">
        <w:rPr>
          <w:rFonts w:ascii="Times New Roman" w:hAnsi="Times New Roman" w:cs="Times New Roman"/>
          <w:sz w:val="24"/>
          <w:szCs w:val="24"/>
        </w:rPr>
        <w:t xml:space="preserve"> – 1 место</w:t>
      </w:r>
      <w:r w:rsidR="0084535E" w:rsidRPr="00920C0E">
        <w:rPr>
          <w:rFonts w:ascii="Times New Roman" w:hAnsi="Times New Roman" w:cs="Times New Roman"/>
          <w:sz w:val="24"/>
          <w:szCs w:val="24"/>
        </w:rPr>
        <w:t>;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по производству молока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– 2 место;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производство зерна – 5 место.</w:t>
      </w:r>
    </w:p>
    <w:p w:rsidR="003F1541" w:rsidRPr="00920C0E" w:rsidRDefault="0084535E" w:rsidP="00845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В ряде наших хозяйств была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проведена реконструкция животноводческих </w:t>
      </w:r>
      <w:proofErr w:type="gramStart"/>
      <w:r w:rsidR="003F1541" w:rsidRPr="00920C0E">
        <w:rPr>
          <w:rFonts w:ascii="Times New Roman" w:hAnsi="Times New Roman" w:cs="Times New Roman"/>
          <w:b/>
          <w:sz w:val="24"/>
          <w:szCs w:val="24"/>
        </w:rPr>
        <w:t>помещений  -</w:t>
      </w:r>
      <w:proofErr w:type="gramEnd"/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 коровников</w:t>
      </w:r>
      <w:r w:rsidR="003F1541" w:rsidRPr="00920C0E">
        <w:rPr>
          <w:rFonts w:ascii="Times New Roman" w:hAnsi="Times New Roman" w:cs="Times New Roman"/>
          <w:sz w:val="24"/>
          <w:szCs w:val="24"/>
        </w:rPr>
        <w:t>(, в СПК «</w:t>
      </w:r>
      <w:proofErr w:type="spellStart"/>
      <w:r w:rsidR="003F1541"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="003F1541" w:rsidRPr="00920C0E">
        <w:rPr>
          <w:rFonts w:ascii="Times New Roman" w:hAnsi="Times New Roman" w:cs="Times New Roman"/>
          <w:sz w:val="24"/>
          <w:szCs w:val="24"/>
        </w:rPr>
        <w:t>»). В КФХ «</w:t>
      </w:r>
      <w:proofErr w:type="spellStart"/>
      <w:r w:rsidR="003F1541" w:rsidRPr="00920C0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 Р.С.» - продолжается строительство двора для беспривязного содержания </w:t>
      </w:r>
      <w:proofErr w:type="gramStart"/>
      <w:r w:rsidR="003F1541" w:rsidRPr="00920C0E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 300 гол). 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Х.Х.» - ведётся  строительство  дойного двора беспривязного содержания на 420 гол.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Вновь строящиеся животноводческие объекты создаются  для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безпривязной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системы содержания скота. Сама ситуация заставляет нас переходить на эти технологии в связи с возрастающим дефицитом кадров. 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>Проблема кадров</w:t>
      </w:r>
      <w:r w:rsidRPr="00920C0E">
        <w:rPr>
          <w:rFonts w:ascii="Times New Roman" w:hAnsi="Times New Roman" w:cs="Times New Roman"/>
          <w:sz w:val="24"/>
          <w:szCs w:val="24"/>
        </w:rPr>
        <w:t xml:space="preserve"> становится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не смотря на меры государственной поддержки молодых работников и специалистов. С 2025 года введена новая форма улучшения жилищных условий, наряду с действующими программами. Молодой работник может получить до  </w:t>
      </w:r>
      <w:r w:rsidRPr="00920C0E">
        <w:rPr>
          <w:rFonts w:ascii="Times New Roman" w:hAnsi="Times New Roman" w:cs="Times New Roman"/>
          <w:b/>
          <w:sz w:val="24"/>
          <w:szCs w:val="24"/>
        </w:rPr>
        <w:t>двух млн. руб</w:t>
      </w:r>
      <w:r w:rsidRPr="00920C0E">
        <w:rPr>
          <w:rFonts w:ascii="Times New Roman" w:hAnsi="Times New Roman" w:cs="Times New Roman"/>
          <w:sz w:val="24"/>
          <w:szCs w:val="24"/>
        </w:rPr>
        <w:t>. на приобретение или строительство жилья. Этой программой уже воспользовалась молодая семья из 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».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Проблемой кадров в АПК всерьёз озабочено МСХ РФ, не хватает не только животноводов и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механизаторов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но и специалистов, в связи с чем начала работать госпрограмма «Кадры в АПК». Цель программы </w:t>
      </w:r>
      <w:r w:rsidRPr="00920C0E">
        <w:rPr>
          <w:rFonts w:ascii="Times New Roman" w:hAnsi="Times New Roman" w:cs="Times New Roman"/>
          <w:b/>
          <w:sz w:val="24"/>
          <w:szCs w:val="24"/>
        </w:rPr>
        <w:t>заинтересовать школьников в школах тематикой сельхозпроизводства, привлечь внимание к деятельности</w:t>
      </w:r>
      <w:r w:rsidRPr="00920C0E">
        <w:rPr>
          <w:rFonts w:ascii="Times New Roman" w:hAnsi="Times New Roman" w:cs="Times New Roman"/>
          <w:sz w:val="24"/>
          <w:szCs w:val="24"/>
        </w:rPr>
        <w:t xml:space="preserve"> АПК, создавая на базе школ совместно с сельхозпредприятиями агротехнологические классы. В нашем районе ведётся работа по организации 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агроклассов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на базе школы № 2 им. Пушкина А.С.,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Майданской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Столбищенской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школ.</w:t>
      </w:r>
    </w:p>
    <w:p w:rsidR="003F1541" w:rsidRPr="00920C0E" w:rsidRDefault="0084535E" w:rsidP="0084535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Продолжают действовать такие меры </w:t>
      </w:r>
      <w:proofErr w:type="spellStart"/>
      <w:proofErr w:type="gramStart"/>
      <w:r w:rsidR="003F1541" w:rsidRPr="00920C0E">
        <w:rPr>
          <w:rFonts w:ascii="Times New Roman" w:hAnsi="Times New Roman" w:cs="Times New Roman"/>
          <w:b/>
          <w:sz w:val="24"/>
          <w:szCs w:val="24"/>
        </w:rPr>
        <w:t>меры</w:t>
      </w:r>
      <w:proofErr w:type="spellEnd"/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  государственной</w:t>
      </w:r>
      <w:proofErr w:type="gramEnd"/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 поддержки для сельхозпроизводителей, как на 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реализованное молоко, зерно, мясо;  на приобретение элитных семян;  </w:t>
      </w:r>
      <w:r w:rsidRPr="00920C0E">
        <w:rPr>
          <w:rFonts w:ascii="Times New Roman" w:hAnsi="Times New Roman" w:cs="Times New Roman"/>
          <w:sz w:val="24"/>
          <w:szCs w:val="24"/>
        </w:rPr>
        <w:t>семени элитных пород скота;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оборудование и техника;</w:t>
      </w:r>
    </w:p>
    <w:p w:rsidR="003F1541" w:rsidRPr="00920C0E" w:rsidRDefault="003F1541" w:rsidP="003F15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За 2025 год из областного и федерального бюджетов сельхозпредприятиями получено субсидий </w:t>
      </w:r>
      <w:r w:rsidRPr="00920C0E">
        <w:rPr>
          <w:rFonts w:ascii="Times New Roman" w:hAnsi="Times New Roman" w:cs="Times New Roman"/>
          <w:b/>
          <w:sz w:val="24"/>
          <w:szCs w:val="24"/>
        </w:rPr>
        <w:t>114 млн. 978</w:t>
      </w:r>
      <w:r w:rsidRPr="00920C0E">
        <w:rPr>
          <w:rFonts w:ascii="Times New Roman" w:hAnsi="Times New Roman" w:cs="Times New Roman"/>
          <w:sz w:val="24"/>
          <w:szCs w:val="24"/>
        </w:rPr>
        <w:t xml:space="preserve"> тыс. руб., или  на 12% меньше.</w:t>
      </w:r>
    </w:p>
    <w:p w:rsidR="003F1541" w:rsidRPr="00920C0E" w:rsidRDefault="003F1541" w:rsidP="00845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Сельхозорганизациями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района получена </w:t>
      </w:r>
      <w:r w:rsidRPr="00920C0E">
        <w:rPr>
          <w:rFonts w:ascii="Times New Roman" w:hAnsi="Times New Roman" w:cs="Times New Roman"/>
          <w:b/>
          <w:sz w:val="24"/>
          <w:szCs w:val="24"/>
        </w:rPr>
        <w:t>выручка</w:t>
      </w:r>
      <w:r w:rsidRPr="00920C0E">
        <w:rPr>
          <w:rFonts w:ascii="Times New Roman" w:hAnsi="Times New Roman" w:cs="Times New Roman"/>
          <w:sz w:val="24"/>
          <w:szCs w:val="24"/>
        </w:rPr>
        <w:t xml:space="preserve"> в размере 2 млрд.167 млн.243 тыс. (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1 млрд. 925 млн. 833 тыс.) </w:t>
      </w: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 xml:space="preserve">руб. </w:t>
      </w:r>
      <w:r w:rsidRPr="00920C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b/>
          <w:sz w:val="24"/>
          <w:szCs w:val="24"/>
        </w:rPr>
        <w:t>на 11 %</w:t>
      </w:r>
      <w:r w:rsidRPr="00920C0E">
        <w:rPr>
          <w:rFonts w:ascii="Times New Roman" w:hAnsi="Times New Roman" w:cs="Times New Roman"/>
          <w:sz w:val="24"/>
          <w:szCs w:val="24"/>
        </w:rPr>
        <w:t xml:space="preserve"> выше уровня прошлого года.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>Прибыль,</w:t>
      </w:r>
      <w:r w:rsidRPr="00920C0E">
        <w:rPr>
          <w:rFonts w:ascii="Times New Roman" w:hAnsi="Times New Roman" w:cs="Times New Roman"/>
          <w:sz w:val="24"/>
          <w:szCs w:val="24"/>
        </w:rPr>
        <w:t xml:space="preserve">  получена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в размере 386 млн. 768 тыс. руб. (  </w:t>
      </w:r>
      <w:r w:rsidRPr="00920C0E">
        <w:rPr>
          <w:rFonts w:ascii="Times New Roman" w:hAnsi="Times New Roman" w:cs="Times New Roman"/>
          <w:b/>
          <w:sz w:val="24"/>
          <w:szCs w:val="24"/>
        </w:rPr>
        <w:t>306 млн. 038 тыс. руб</w:t>
      </w:r>
      <w:r w:rsidRPr="00920C0E">
        <w:rPr>
          <w:rFonts w:ascii="Times New Roman" w:hAnsi="Times New Roman" w:cs="Times New Roman"/>
          <w:sz w:val="24"/>
          <w:szCs w:val="24"/>
        </w:rPr>
        <w:t xml:space="preserve">.) </w:t>
      </w:r>
      <w:r w:rsidRPr="00920C0E">
        <w:rPr>
          <w:rFonts w:ascii="Times New Roman" w:hAnsi="Times New Roman" w:cs="Times New Roman"/>
          <w:b/>
          <w:sz w:val="24"/>
          <w:szCs w:val="24"/>
        </w:rPr>
        <w:t>на 21 % выше</w:t>
      </w:r>
      <w:r w:rsidRPr="00920C0E">
        <w:rPr>
          <w:rFonts w:ascii="Times New Roman" w:hAnsi="Times New Roman" w:cs="Times New Roman"/>
          <w:sz w:val="24"/>
          <w:szCs w:val="24"/>
        </w:rPr>
        <w:t xml:space="preserve"> уровня прошлого года.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средняя </w:t>
      </w:r>
      <w:r w:rsidRPr="00920C0E">
        <w:rPr>
          <w:rFonts w:ascii="Times New Roman" w:hAnsi="Times New Roman" w:cs="Times New Roman"/>
          <w:b/>
          <w:sz w:val="24"/>
          <w:szCs w:val="24"/>
        </w:rPr>
        <w:t>заработная плата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сельхозорганизациям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округа составила  56 тыс. руб. (</w:t>
      </w:r>
      <w:r w:rsidRPr="00920C0E">
        <w:rPr>
          <w:rFonts w:ascii="Times New Roman" w:hAnsi="Times New Roman" w:cs="Times New Roman"/>
          <w:b/>
          <w:sz w:val="24"/>
          <w:szCs w:val="24"/>
        </w:rPr>
        <w:t>44870 руб</w:t>
      </w:r>
      <w:r w:rsidRPr="00920C0E">
        <w:rPr>
          <w:rFonts w:ascii="Times New Roman" w:hAnsi="Times New Roman" w:cs="Times New Roman"/>
          <w:sz w:val="24"/>
          <w:szCs w:val="24"/>
        </w:rPr>
        <w:t>.) - 12 % роста к прошлому году.</w:t>
      </w:r>
    </w:p>
    <w:p w:rsidR="003F1541" w:rsidRPr="00920C0E" w:rsidRDefault="0084535E" w:rsidP="008453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F1541" w:rsidRPr="0092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Приобретение техники.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Не смотря на рост цен на технику и оборудование, недоступность кредитов, сельхозпроизводителями продолжается обновление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-тракторного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парка,  за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год было    приобретено 80 (73)  ед. самоходной, прицепной , навесной техники и оборудования, на общую </w:t>
      </w:r>
      <w:r w:rsidRPr="00920C0E">
        <w:rPr>
          <w:rFonts w:ascii="Times New Roman" w:hAnsi="Times New Roman" w:cs="Times New Roman"/>
          <w:b/>
          <w:sz w:val="24"/>
          <w:szCs w:val="24"/>
        </w:rPr>
        <w:t>сумму 204 млн. руб</w:t>
      </w:r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том числе 4 трактора разных модификаций, 4 автомобиля, 2 кормоуборочных комбайна, 2 зерноуборочных. Вся вновь приобретённая техника Белорусского, Китайского и отечественного производства.</w:t>
      </w:r>
    </w:p>
    <w:p w:rsidR="00920C0E" w:rsidRDefault="00095C06" w:rsidP="00095C06">
      <w:pPr>
        <w:spacing w:after="0" w:line="240" w:lineRule="auto"/>
        <w:jc w:val="both"/>
        <w:rPr>
          <w:b/>
          <w:sz w:val="32"/>
          <w:szCs w:val="32"/>
        </w:rPr>
      </w:pPr>
      <w:r w:rsidRPr="00920C0E">
        <w:rPr>
          <w:b/>
          <w:sz w:val="32"/>
          <w:szCs w:val="32"/>
        </w:rPr>
        <w:t xml:space="preserve">         </w:t>
      </w:r>
    </w:p>
    <w:p w:rsidR="00920C0E" w:rsidRDefault="00920C0E" w:rsidP="00095C06">
      <w:pPr>
        <w:spacing w:after="0" w:line="240" w:lineRule="auto"/>
        <w:jc w:val="both"/>
        <w:rPr>
          <w:b/>
          <w:sz w:val="32"/>
          <w:szCs w:val="32"/>
        </w:rPr>
      </w:pPr>
    </w:p>
    <w:p w:rsidR="00851BD6" w:rsidRPr="00920C0E" w:rsidRDefault="00920C0E" w:rsidP="00095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      </w:t>
      </w:r>
      <w:r w:rsidR="00095C06" w:rsidRPr="00920C0E">
        <w:rPr>
          <w:b/>
          <w:sz w:val="32"/>
          <w:szCs w:val="32"/>
        </w:rPr>
        <w:t xml:space="preserve"> </w:t>
      </w:r>
      <w:r w:rsidR="00851BD6" w:rsidRPr="00920C0E">
        <w:rPr>
          <w:rFonts w:ascii="Times New Roman" w:hAnsi="Times New Roman" w:cs="Times New Roman"/>
          <w:b/>
          <w:sz w:val="24"/>
          <w:szCs w:val="24"/>
        </w:rPr>
        <w:t xml:space="preserve">«Развитие культуры в </w:t>
      </w:r>
      <w:proofErr w:type="spellStart"/>
      <w:r w:rsidR="00851BD6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851BD6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Ни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жегородской области на 2018-202</w:t>
      </w:r>
      <w:r w:rsidR="0040034E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851BD6" w:rsidRPr="00920C0E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="00851BD6" w:rsidRPr="00920C0E">
        <w:rPr>
          <w:rFonts w:ascii="Times New Roman" w:hAnsi="Times New Roman" w:cs="Times New Roman"/>
          <w:sz w:val="24"/>
          <w:szCs w:val="24"/>
        </w:rPr>
        <w:t>Бюджетные ассигнования и прочие средст</w:t>
      </w:r>
      <w:r w:rsidR="00320E18" w:rsidRPr="00920C0E">
        <w:rPr>
          <w:rFonts w:ascii="Times New Roman" w:hAnsi="Times New Roman" w:cs="Times New Roman"/>
          <w:sz w:val="24"/>
          <w:szCs w:val="24"/>
        </w:rPr>
        <w:t>в</w:t>
      </w:r>
      <w:r w:rsidR="0040034E" w:rsidRPr="00920C0E">
        <w:rPr>
          <w:rFonts w:ascii="Times New Roman" w:hAnsi="Times New Roman" w:cs="Times New Roman"/>
          <w:sz w:val="24"/>
          <w:szCs w:val="24"/>
        </w:rPr>
        <w:t>а по программе исполнены на 97,2</w:t>
      </w:r>
      <w:r w:rsidR="00851BD6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100%, исполнение по индикатора</w:t>
      </w:r>
      <w:r w:rsidR="00320E18" w:rsidRPr="00920C0E">
        <w:rPr>
          <w:rFonts w:ascii="Times New Roman" w:hAnsi="Times New Roman" w:cs="Times New Roman"/>
          <w:sz w:val="24"/>
          <w:szCs w:val="24"/>
        </w:rPr>
        <w:t xml:space="preserve">м </w:t>
      </w:r>
      <w:r w:rsidR="0040034E" w:rsidRPr="00920C0E">
        <w:rPr>
          <w:rFonts w:ascii="Times New Roman" w:hAnsi="Times New Roman" w:cs="Times New Roman"/>
          <w:sz w:val="24"/>
          <w:szCs w:val="24"/>
        </w:rPr>
        <w:t>130</w:t>
      </w:r>
      <w:r w:rsidR="00851BD6" w:rsidRPr="00920C0E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40034E" w:rsidRPr="00920C0E">
        <w:rPr>
          <w:rFonts w:ascii="Times New Roman" w:hAnsi="Times New Roman" w:cs="Times New Roman"/>
          <w:sz w:val="24"/>
          <w:szCs w:val="24"/>
        </w:rPr>
        <w:t>неудовлетворительная</w:t>
      </w:r>
      <w:r w:rsidR="00851BD6" w:rsidRPr="00920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C06" w:rsidRPr="00920C0E" w:rsidRDefault="00095C06" w:rsidP="00095C06">
      <w:pPr>
        <w:suppressLineNumbers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Отчётный 2025 год был ознаменован запоминающимися событиями. В 2025</w:t>
      </w:r>
      <w:r w:rsidRPr="00920C0E">
        <w:rPr>
          <w:rFonts w:ascii="Times New Roman" w:hAnsi="Times New Roman" w:cs="Times New Roman"/>
          <w:color w:val="1C1C1C"/>
          <w:sz w:val="24"/>
          <w:szCs w:val="24"/>
        </w:rPr>
        <w:t xml:space="preserve"> г. работники культуры активно вели работу: режиссировали, снимали и размещали в </w:t>
      </w:r>
      <w:proofErr w:type="spellStart"/>
      <w:r w:rsidRPr="00920C0E">
        <w:rPr>
          <w:rFonts w:ascii="Times New Roman" w:hAnsi="Times New Roman" w:cs="Times New Roman"/>
          <w:color w:val="1C1C1C"/>
          <w:sz w:val="24"/>
          <w:szCs w:val="24"/>
        </w:rPr>
        <w:t>соцсетях</w:t>
      </w:r>
      <w:proofErr w:type="spellEnd"/>
      <w:r w:rsidRPr="00920C0E">
        <w:rPr>
          <w:rFonts w:ascii="Times New Roman" w:hAnsi="Times New Roman" w:cs="Times New Roman"/>
          <w:color w:val="1C1C1C"/>
          <w:sz w:val="24"/>
          <w:szCs w:val="24"/>
        </w:rPr>
        <w:t xml:space="preserve"> видеоролики с выступлениями творческих коллективов и сольных исполнителей. Подготавливали презентации и мастер-классы, конкурсы, акции и </w:t>
      </w:r>
      <w:proofErr w:type="spellStart"/>
      <w:r w:rsidRPr="00920C0E">
        <w:rPr>
          <w:rFonts w:ascii="Times New Roman" w:hAnsi="Times New Roman" w:cs="Times New Roman"/>
          <w:color w:val="1C1C1C"/>
          <w:sz w:val="24"/>
          <w:szCs w:val="24"/>
        </w:rPr>
        <w:t>флешмобы</w:t>
      </w:r>
      <w:proofErr w:type="spellEnd"/>
      <w:r w:rsidRPr="00920C0E">
        <w:rPr>
          <w:rFonts w:ascii="Times New Roman" w:hAnsi="Times New Roman" w:cs="Times New Roman"/>
          <w:color w:val="1C1C1C"/>
          <w:sz w:val="24"/>
          <w:szCs w:val="24"/>
        </w:rPr>
        <w:t>, проводили концерты. Активно реализовывалась федеральная программа «Пушкинская карта».</w:t>
      </w:r>
    </w:p>
    <w:p w:rsidR="00095C06" w:rsidRPr="00920C0E" w:rsidRDefault="00095C06" w:rsidP="00095C0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b/>
          <w:sz w:val="24"/>
          <w:szCs w:val="24"/>
          <w:lang w:eastAsia="ru-RU"/>
        </w:rPr>
        <w:t>МБУК «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  <w:lang w:eastAsia="ru-RU"/>
        </w:rPr>
        <w:t>Пильнинская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централизованная библиотечная система». </w:t>
      </w:r>
    </w:p>
    <w:p w:rsidR="00095C06" w:rsidRPr="00920C0E" w:rsidRDefault="00095C06" w:rsidP="00095C06">
      <w:pPr>
        <w:pStyle w:val="af1"/>
        <w:jc w:val="both"/>
        <w:rPr>
          <w:szCs w:val="24"/>
        </w:rPr>
      </w:pPr>
      <w:r w:rsidRPr="00920C0E">
        <w:rPr>
          <w:szCs w:val="24"/>
        </w:rPr>
        <w:t xml:space="preserve">            Деятельность библиотек </w:t>
      </w:r>
      <w:r w:rsidRPr="00920C0E">
        <w:rPr>
          <w:b/>
          <w:szCs w:val="24"/>
        </w:rPr>
        <w:t>МБУК «</w:t>
      </w:r>
      <w:proofErr w:type="spellStart"/>
      <w:r w:rsidRPr="00920C0E">
        <w:rPr>
          <w:b/>
          <w:szCs w:val="24"/>
        </w:rPr>
        <w:t>Пильнинская</w:t>
      </w:r>
      <w:proofErr w:type="spellEnd"/>
      <w:r w:rsidRPr="00920C0E">
        <w:rPr>
          <w:b/>
          <w:szCs w:val="24"/>
        </w:rPr>
        <w:t xml:space="preserve"> ЦБС»</w:t>
      </w:r>
      <w:r w:rsidRPr="00920C0E">
        <w:rPr>
          <w:szCs w:val="24"/>
        </w:rPr>
        <w:t xml:space="preserve"> направлена на удовлетворение информационных, культурно-образовательных и культурно - досуговых запросов местного сообщества.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20C0E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Pr="00920C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Значимые события, произошедшие в 2025 году: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сельская библиотека – филиал открыта в статусе модельная библиотека, библиотека нового поколения в рамках федерального проекта «Семейные ценности и инфраструктура культуры» национального проекта «Семья»: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На модернизацию -8080000 ,00 руб. -приобретено современное оборудование – интерактивный стол, интерактивная песочница, панель, интерактивный глобус, </w:t>
      </w:r>
      <w:proofErr w:type="spell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PlayStation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зеркальный фотоаппарат, для лиц с ОВЗ - гусеничный подъёмник, коляска для перемещения в библиотеке,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тифлофлешплеер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, электронная лупа, комфортная мебель, новая литература. Проведен капитальный ремонт на сумму 6543402 руб.32коп. Из них: местный бюджет - 1380680руб. 46коп., областной бюджет - 5234721руб.,86 коп.;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Дополнительные работы по модернизации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Красногорской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библиотеки с местного бюджета выполнены на сумму 756000,00 руб.- дизайн-проект, монтаж объемных букв «БИБЛИОТЕКА», устройство пожарной лестницы, навес над входной группой.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«Семейные ценности и инфраструктура культуры» национального проекта «Семья» подготовлены и отправлены документы на конкурсный отбор модельных библиотек – на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Медянскую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сельскую библиотеку.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  Подготовлен    дизайн - проект по модернизации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сельской библиотеки на сумму 123580,00 руб.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0C0E">
        <w:rPr>
          <w:rFonts w:ascii="Times New Roman" w:hAnsi="Times New Roman" w:cs="Times New Roman"/>
          <w:b/>
          <w:bCs/>
          <w:sz w:val="24"/>
          <w:szCs w:val="24"/>
        </w:rPr>
        <w:t>Грантовый</w:t>
      </w:r>
      <w:proofErr w:type="spellEnd"/>
      <w:r w:rsidRPr="00920C0E">
        <w:rPr>
          <w:rFonts w:ascii="Times New Roman" w:hAnsi="Times New Roman" w:cs="Times New Roman"/>
          <w:b/>
          <w:bCs/>
          <w:sz w:val="24"/>
          <w:szCs w:val="24"/>
        </w:rPr>
        <w:t xml:space="preserve"> конкурс 2026</w:t>
      </w:r>
      <w:r w:rsidRPr="00920C0E">
        <w:rPr>
          <w:rFonts w:ascii="Times New Roman" w:hAnsi="Times New Roman" w:cs="Times New Roman"/>
          <w:sz w:val="24"/>
          <w:szCs w:val="24"/>
        </w:rPr>
        <w:t xml:space="preserve"> г. Президентский Фонд культурных инициатив (ПФКИ)– заявка на второй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грантовый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конкурс 2026 г. Проект «Жизнь замечательных людей: дело всей жизни».</w:t>
      </w:r>
    </w:p>
    <w:p w:rsidR="00095C06" w:rsidRPr="00920C0E" w:rsidRDefault="00095C06" w:rsidP="00095C06">
      <w:pPr>
        <w:spacing w:after="0" w:line="240" w:lineRule="auto"/>
        <w:rPr>
          <w:rStyle w:val="text"/>
          <w:rFonts w:ascii="Times New Roman" w:hAnsi="Times New Roman" w:cs="Times New Roman"/>
          <w:color w:val="1A1A1A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0C0E">
        <w:rPr>
          <w:rFonts w:ascii="Times New Roman" w:hAnsi="Times New Roman" w:cs="Times New Roman"/>
          <w:b/>
          <w:bCs/>
          <w:sz w:val="24"/>
          <w:szCs w:val="24"/>
        </w:rPr>
        <w:t>Грантовый</w:t>
      </w:r>
      <w:proofErr w:type="spellEnd"/>
      <w:r w:rsidRPr="00920C0E">
        <w:rPr>
          <w:rFonts w:ascii="Times New Roman" w:hAnsi="Times New Roman" w:cs="Times New Roman"/>
          <w:b/>
          <w:bCs/>
          <w:sz w:val="24"/>
          <w:szCs w:val="24"/>
        </w:rPr>
        <w:t xml:space="preserve"> конкурс </w:t>
      </w:r>
      <w:r w:rsidRPr="00920C0E">
        <w:rPr>
          <w:rFonts w:ascii="Times New Roman" w:hAnsi="Times New Roman" w:cs="Times New Roman"/>
          <w:sz w:val="24"/>
          <w:szCs w:val="24"/>
        </w:rPr>
        <w:t xml:space="preserve">  на лучшее учреждение культуры среди сельских поселений Нижегородской области.  Каменская сельская библиотека – филиал получила грант на сумму 141666руб.68 коп. Приобретено оборудование – МФУ струйное, музыкальный центр.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bCs/>
          <w:sz w:val="24"/>
          <w:szCs w:val="24"/>
        </w:rPr>
        <w:t>Программа «Пушкинская карта»</w:t>
      </w:r>
      <w:r w:rsidRPr="00920C0E">
        <w:rPr>
          <w:rFonts w:ascii="Times New Roman" w:hAnsi="Times New Roman" w:cs="Times New Roman"/>
          <w:sz w:val="24"/>
          <w:szCs w:val="24"/>
        </w:rPr>
        <w:t>, участие в проекте Министерства культуры Российской Федерации. За 2025г.  реализовано 496 билетов на 228200 руб. Проведено 22 мероприятия.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позволяет молодым людям возможность посетить учреждения культуры за счёт средств федерального бюджета. М</w:t>
      </w:r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ероприятия проводятся на базе модельной Центральной библиотеки. Имея свой автотранспорт по заявкам, выезжаем в школы, библиотеки округа. Увеличиваем количество различных мероприятий, которые могут быть интересны молодёжной аудитории; Экскурсия </w:t>
      </w:r>
      <w:proofErr w:type="gram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Библиотека</w:t>
      </w:r>
      <w:proofErr w:type="gramEnd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нового поколения» - модно, креативно ,интересно!» , представляем новые технические возможности библиотеки: игровые приставки </w:t>
      </w:r>
      <w:proofErr w:type="spell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PlayStation</w:t>
      </w:r>
      <w:proofErr w:type="spellEnd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 набором игр FIFA 22,FIFA23,очки виртуальной  реальности, глобус YR, интерактивные столы; Развивающие Программы « Это надо знать», </w:t>
      </w:r>
      <w:proofErr w:type="spell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игра , мастер- классы - « Глиняный креатив», по изготовлению куклы - оберега . Мастер- класс «Вкусный рендер» по 3D моделированию;</w:t>
      </w:r>
      <w:r w:rsidRPr="00920C0E">
        <w:rPr>
          <w:rFonts w:ascii="Times New Roman" w:hAnsi="Times New Roman" w:cs="Times New Roman"/>
          <w:sz w:val="24"/>
          <w:szCs w:val="24"/>
        </w:rPr>
        <w:t xml:space="preserve"> Мастер-класс "Реальный практический опыт работы с 3D".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b/>
          <w:bCs/>
          <w:sz w:val="24"/>
          <w:szCs w:val="24"/>
        </w:rPr>
        <w:t>В юбилейный год Победы</w:t>
      </w:r>
      <w:r w:rsidRPr="00920C0E">
        <w:rPr>
          <w:rFonts w:ascii="Times New Roman" w:hAnsi="Times New Roman" w:cs="Times New Roman"/>
          <w:sz w:val="24"/>
          <w:szCs w:val="24"/>
        </w:rPr>
        <w:t>, год защитника Отечества проведена огромная работа по сбору информации, увековечению памяти, сохранению имён и судеб участников Великой Отечественной войны: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 xml:space="preserve">1. По поручению Президента Российской Федерации   с 2021г.   принимаем участие в создании электронной Книги Памяти. Библиотечными работниками собрано и отправлено в областной архив сведений на 4411 человек, участников Великой Отечественной войны; </w:t>
      </w:r>
    </w:p>
    <w:p w:rsidR="00095C06" w:rsidRPr="00920C0E" w:rsidRDefault="00095C06" w:rsidP="00095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2.С 2025г. началась работа по формированию электронной базы данных о воинах Нижегородской области, погибших в годы Великой Отечественной войны. Из Книги Памяти т.12 отправлено информации на 5007 человек, участников войны в областной архив. Информация пополнялась также с портала «Память народа»;</w:t>
      </w:r>
    </w:p>
    <w:p w:rsidR="00095C06" w:rsidRPr="00920C0E" w:rsidRDefault="00095C06" w:rsidP="00095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C06" w:rsidRPr="00920C0E" w:rsidRDefault="00095C06" w:rsidP="00095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3. В текущем году издана Книга Памяти воинов Великой Отечественной войны 1941-1945г.г.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округа, вернувшихся с войны. С 2012г. библиотеками формировалась электронная база данных о воинах округа, умерших в послевоенные годы для издания Книги Памяти.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Ведётся оцифровка фондовых документов</w:t>
      </w:r>
      <w:r w:rsidRPr="00920C0E">
        <w:rPr>
          <w:rFonts w:ascii="Times New Roman" w:hAnsi="Times New Roman" w:cs="Times New Roman"/>
          <w:color w:val="000000"/>
          <w:sz w:val="24"/>
          <w:szCs w:val="24"/>
        </w:rPr>
        <w:t>. Создаётся электронно-цифровая библиотека.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Объём электронной цифровой библиотеки на 01.01.2026г. - 7881экз.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Полнотекстовые документы краеведческого характера размещаются на сайте библиотеки. С архива областной библиотеки оцифрована газета «Колхозная стройка» за 1941-1945г.г. о жизни района в военные годы. Материал газеты сброшюрован в отдельную книгу.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В ЦБС функционирует </w:t>
      </w:r>
      <w:r w:rsidRPr="00920C0E">
        <w:rPr>
          <w:rFonts w:ascii="Times New Roman" w:hAnsi="Times New Roman" w:cs="Times New Roman"/>
          <w:b/>
          <w:bCs/>
          <w:sz w:val="24"/>
          <w:szCs w:val="24"/>
        </w:rPr>
        <w:t>электронный каталог.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Объём электронного каталога на 01.01.2026г. – 36586 записей. 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>Работают клубы   по интересам</w:t>
      </w:r>
      <w:r w:rsidRPr="00920C0E">
        <w:rPr>
          <w:rFonts w:ascii="Times New Roman" w:hAnsi="Times New Roman" w:cs="Times New Roman"/>
          <w:sz w:val="24"/>
          <w:szCs w:val="24"/>
        </w:rPr>
        <w:t>: Православный клуб «Мы вместе»; Семейный клуб «Библиотека для семьи»; Краеведческий клуб «Возвращение к истокам»; Творческая мастерская «Школа креатива».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bCs/>
          <w:sz w:val="24"/>
          <w:szCs w:val="24"/>
        </w:rPr>
        <w:t>Статистика: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Посещений библиотек- 271866 ед., из них 14720   обращения удаленных пользователей. Проведено мероприятий – 1837ед. Комплектование фондов библиотек – поступило новых документов 4035 экз.  на сумму 1951000,00руб. Из них местный бюджет - 365600,73 руб., федеральный бюджет - 1434023,91 руб., обл. бюджет - 117281,66 руб. 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>Количество проведенных мероприятий за 2025 год составило 353, среди которых можно выделить: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проведено 112 детских мероприятий, которые посетили 7462 человек;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платные мероприятия 34, которые посетили 3423 человека; 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 проведено 49 молодёжных мероприятий, количество посетителей - 5430 человек;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- проведено 62 мероприятия для взрослых, количество посетителей - 7605 человек;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- проведено 130 мероприятий для смешанной категории граждан, количество посетителей - 36787 человек.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b/>
          <w:sz w:val="24"/>
          <w:szCs w:val="24"/>
        </w:rPr>
        <w:t>Работа учреждения в рамках реализации государственной программы «Пушкинская карта».</w:t>
      </w:r>
      <w:r w:rsidRPr="00920C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>За отчетный период в учреждении было проведено 11 мероприятий в рамках программы. В том числе, из них 7 мероприятий – гастроли, заработано 898300,00 руб., реализовано 1887 билетов.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>МБУК Пильнинский культурно-досуговый центр прошел конкурсный отбор и Приказом Федерального фонда социальной и экономической поддержки отечественной кинематографии (далее Фонд кино) от 21 августа 2025 года №77 был внесен в список участников на 2025 год.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>Согласно данному приказу Учреждение подписало договор с Фондом кино № 78/5-3 от 04.09.2025 г и</w:t>
      </w:r>
      <w:r w:rsidRPr="00920C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920C0E">
        <w:rPr>
          <w:rFonts w:ascii="Times New Roman" w:eastAsia="Calibri" w:hAnsi="Times New Roman" w:cs="Times New Roman"/>
          <w:sz w:val="24"/>
          <w:szCs w:val="24"/>
        </w:rPr>
        <w:t>8 сентября 2025 года поступили на счет средства в сумме 2937981,00 руб.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 xml:space="preserve">Открытие модернизированного кинозала состоялось 19.12.2025 г. 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>Число участников клубных формирований составило 186 человек, плановый показатель - 186 человек.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клубных формирований в культурно-досуговом центре 17, запланировано 17.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 Число посетителей и участников культурно-досуговых мероприятий КДЦ, за 2025 год, составило 57284 человека. 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</w:t>
      </w:r>
      <w:r w:rsidRPr="00920C0E">
        <w:rPr>
          <w:rFonts w:ascii="Times New Roman" w:hAnsi="Times New Roman" w:cs="Times New Roman"/>
          <w:b/>
          <w:sz w:val="24"/>
          <w:szCs w:val="24"/>
        </w:rPr>
        <w:t>МБУДО «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Пильнинская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ДШИ им. С.М. Ляпунова»</w:t>
      </w:r>
      <w:r w:rsidRPr="00920C0E">
        <w:rPr>
          <w:rFonts w:ascii="Times New Roman" w:hAnsi="Times New Roman" w:cs="Times New Roman"/>
          <w:sz w:val="24"/>
          <w:szCs w:val="24"/>
        </w:rPr>
        <w:t xml:space="preserve"> контингент</w:t>
      </w:r>
      <w:r w:rsidRPr="00920C0E">
        <w:rPr>
          <w:rFonts w:ascii="Times New Roman" w:eastAsia="Calibri" w:hAnsi="Times New Roman" w:cs="Times New Roman"/>
          <w:sz w:val="24"/>
          <w:szCs w:val="24"/>
        </w:rPr>
        <w:t xml:space="preserve"> учащихся составляет 148 человек, педагогический коллектив - 5 человек. Функционируют 5 отделений: изобразительное </w:t>
      </w:r>
      <w:r w:rsidRPr="00920C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искусство, народных инструментов, фортепиано, вокал, раннее эстетическое. В школе реализуются дополнительные предпрофессиональные программы – обучается 64 человек, и общеразвивающие программы - обучаются 84 человека. </w:t>
      </w:r>
    </w:p>
    <w:p w:rsidR="00095C06" w:rsidRPr="00920C0E" w:rsidRDefault="00095C06" w:rsidP="00095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творческих мероприятиях силами ДШИ участвовало 78 человек (52,7%). </w:t>
      </w:r>
    </w:p>
    <w:p w:rsidR="00095C06" w:rsidRPr="00920C0E" w:rsidRDefault="00095C06" w:rsidP="00095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Призерами наиболее значимых конкурсов являются 13 учащихся (8,7 %). </w:t>
      </w:r>
    </w:p>
    <w:p w:rsidR="00095C06" w:rsidRPr="00920C0E" w:rsidRDefault="00095C06" w:rsidP="00095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Силами ДШИ проведено 19 мероприятий и 10 выставок. По Пушкинской карте проведено 7 мероприятий с учащимися школ и техникума. Продано 100 билетов, вырученная сумма составила 37600 руб.</w:t>
      </w:r>
    </w:p>
    <w:p w:rsidR="00095C06" w:rsidRPr="00920C0E" w:rsidRDefault="00095C06" w:rsidP="00095C06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2025 г.  выполнены требования по антитеррористической и пожарной безопасности – установлен речевой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оповещатель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при эвакуации и пожарная сигнализация на чердаке школы. </w:t>
      </w:r>
    </w:p>
    <w:p w:rsidR="00095C06" w:rsidRPr="00920C0E" w:rsidRDefault="00095C06" w:rsidP="00095C06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Приобретено оборудование и материалы для класса керамики: раскатчик глины, гончарный круг, глина, краски по керамике. Отремонтированы 2 инструмента в классе фортепиано и 2 рояля в концертном зале. Отремонтированы 2 баяна, для них куплены новые чехлы. </w:t>
      </w:r>
    </w:p>
    <w:p w:rsidR="00095C06" w:rsidRPr="00920C0E" w:rsidRDefault="00095C06" w:rsidP="00095C06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2026 г.  планируется закупить рамки и паспарту для класса ИЗО, чехлы для роялей в зале.</w:t>
      </w:r>
    </w:p>
    <w:p w:rsidR="00095C06" w:rsidRPr="00920C0E" w:rsidRDefault="00095C06" w:rsidP="00C40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>МБУК «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Пильнинский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краеведческий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музей</w:t>
      </w: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>».</w:t>
      </w:r>
      <w:r w:rsidRPr="00920C0E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прошедший год проведены </w:t>
      </w:r>
      <w:r w:rsidRPr="00920C0E">
        <w:rPr>
          <w:rFonts w:ascii="Times New Roman" w:hAnsi="Times New Roman" w:cs="Times New Roman"/>
          <w:bCs/>
          <w:sz w:val="24"/>
          <w:szCs w:val="24"/>
        </w:rPr>
        <w:t>34 выставки</w:t>
      </w:r>
      <w:r w:rsidRPr="00920C0E">
        <w:rPr>
          <w:rFonts w:ascii="Times New Roman" w:hAnsi="Times New Roman" w:cs="Times New Roman"/>
          <w:sz w:val="24"/>
          <w:szCs w:val="24"/>
        </w:rPr>
        <w:t xml:space="preserve">, 24 из которых открыты в отчетном году. Из общего числа выставок 31 из собственных фондов музея, и 3 с привлечением фондов частных коллекций: </w:t>
      </w:r>
      <w:bookmarkStart w:id="0" w:name="_Hlk219184672"/>
      <w:r w:rsidRPr="00920C0E">
        <w:rPr>
          <w:rFonts w:ascii="Times New Roman" w:hAnsi="Times New Roman" w:cs="Times New Roman"/>
          <w:sz w:val="24"/>
          <w:szCs w:val="24"/>
        </w:rPr>
        <w:t>«Красота рукотворная»</w:t>
      </w:r>
      <w:bookmarkEnd w:id="0"/>
      <w:r w:rsidRPr="00920C0E">
        <w:rPr>
          <w:rFonts w:ascii="Times New Roman" w:hAnsi="Times New Roman" w:cs="Times New Roman"/>
          <w:sz w:val="24"/>
          <w:szCs w:val="24"/>
        </w:rPr>
        <w:t xml:space="preserve">, «Оружие Победы» и </w:t>
      </w:r>
      <w:bookmarkStart w:id="1" w:name="_Hlk219184806"/>
      <w:r w:rsidRPr="00920C0E">
        <w:rPr>
          <w:rFonts w:ascii="Times New Roman" w:hAnsi="Times New Roman" w:cs="Times New Roman"/>
          <w:sz w:val="24"/>
          <w:szCs w:val="24"/>
        </w:rPr>
        <w:t>«Многоцветье земли российской»</w:t>
      </w:r>
      <w:bookmarkEnd w:id="1"/>
      <w:r w:rsidRPr="00920C0E">
        <w:rPr>
          <w:rFonts w:ascii="Times New Roman" w:hAnsi="Times New Roman" w:cs="Times New Roman"/>
          <w:sz w:val="24"/>
          <w:szCs w:val="24"/>
        </w:rPr>
        <w:t>.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20C0E">
        <w:rPr>
          <w:rFonts w:ascii="Times New Roman" w:hAnsi="Times New Roman" w:cs="Times New Roman"/>
          <w:sz w:val="24"/>
          <w:szCs w:val="24"/>
        </w:rPr>
        <w:t>Наиболее значимыми были выставки «Красота рукотворная» - работы резчика по дереву Назарова А.Н., «Оружие Победы»  - выставка оружия времен Великой Отечественной войны обеих противоборствующих сторон из частной коллекции, «Многоцветье земли российской» - выставка кукол в национальных костюмах Российской империи из частной коллекции, «Минувших лет живая память» - выставка, посвященная Великой Отечественной войне, «Вдов солдатских не легкие судьбы» - мини – выставка в честь матерей, потерявших своих мужей и сыновей на войне,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«В гостях у самовара» - выставка самоваров и атрибутов чаепития.</w:t>
      </w:r>
    </w:p>
    <w:p w:rsidR="00095C06" w:rsidRPr="00920C0E" w:rsidRDefault="00095C06" w:rsidP="00095C0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В выставках демонстрировалось </w:t>
      </w:r>
      <w:r w:rsidRPr="00920C0E">
        <w:rPr>
          <w:rFonts w:ascii="Times New Roman" w:hAnsi="Times New Roman" w:cs="Times New Roman"/>
          <w:bCs/>
          <w:sz w:val="24"/>
          <w:szCs w:val="24"/>
        </w:rPr>
        <w:t>1350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предметов основного фонда. </w:t>
      </w:r>
    </w:p>
    <w:p w:rsidR="00095C06" w:rsidRPr="00920C0E" w:rsidRDefault="00095C06" w:rsidP="00095C06">
      <w:pPr>
        <w:numPr>
          <w:ilvl w:val="0"/>
          <w:numId w:val="6"/>
        </w:numPr>
        <w:spacing w:after="0" w:line="240" w:lineRule="auto"/>
        <w:ind w:left="426" w:right="170" w:firstLine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920C0E">
        <w:rPr>
          <w:rFonts w:ascii="Times New Roman" w:hAnsi="Times New Roman" w:cs="Times New Roman"/>
          <w:bCs/>
          <w:sz w:val="24"/>
          <w:szCs w:val="24"/>
        </w:rPr>
        <w:t>40</w:t>
      </w:r>
      <w:r w:rsidRPr="00920C0E">
        <w:rPr>
          <w:rFonts w:ascii="Times New Roman" w:hAnsi="Times New Roman" w:cs="Times New Roman"/>
          <w:sz w:val="24"/>
          <w:szCs w:val="24"/>
        </w:rPr>
        <w:t xml:space="preserve"> массовых мероприятий, среди которых можно выделить </w:t>
      </w: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«Ученый – ветеринар </w:t>
      </w:r>
      <w:proofErr w:type="spell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Тарнорудов</w:t>
      </w:r>
      <w:proofErr w:type="spell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 М.Е.» в честь 165-летия ученого, «Солдатские матери», для детей дошкольного возраста, </w:t>
      </w:r>
      <w:r w:rsidRPr="00920C0E">
        <w:rPr>
          <w:rFonts w:ascii="Times New Roman" w:hAnsi="Times New Roman" w:cs="Times New Roman"/>
          <w:sz w:val="24"/>
          <w:szCs w:val="24"/>
        </w:rPr>
        <w:t>а также участие во Всероссийских акциях «Ночь музеев».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Принимали участие в мероприятиях округа «Пильнинский ёрш», «Масленица», День Победы, День молодежи, и др. 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Музей в 2025 году работал с молодежью, обладателями «Пушкинской карты». На платформе «Про. Культура» было выложено более 20 мероприятий. Куплено 342 билета на сумму 99700</w:t>
      </w:r>
      <w:r w:rsidRPr="00920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095C06" w:rsidRPr="00920C0E" w:rsidRDefault="00095C06" w:rsidP="00095C06">
      <w:p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  <w:u w:val="single"/>
        </w:rPr>
        <w:t xml:space="preserve">Проекты </w:t>
      </w:r>
      <w:r w:rsidRPr="00920C0E">
        <w:rPr>
          <w:rFonts w:ascii="Times New Roman" w:hAnsi="Times New Roman" w:cs="Times New Roman"/>
          <w:sz w:val="24"/>
          <w:szCs w:val="24"/>
        </w:rPr>
        <w:t xml:space="preserve">– Работали над проектом на предоставление грантов Президента Российской Федерации на реализацию проектов в области культуры, искусства и креативных (творческих) индустрий. Название темы: «Морские горизонты Пильны» и «В начале славных дел». 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По военно-патриотическому воспитанию в течение отчетного года </w:t>
      </w:r>
      <w:r w:rsidRPr="00920C0E">
        <w:rPr>
          <w:rFonts w:ascii="Times New Roman" w:hAnsi="Times New Roman" w:cs="Times New Roman"/>
          <w:bCs/>
          <w:sz w:val="24"/>
          <w:szCs w:val="24"/>
        </w:rPr>
        <w:t>музей</w:t>
      </w:r>
      <w:r w:rsidRPr="00920C0E">
        <w:rPr>
          <w:rFonts w:ascii="Times New Roman" w:hAnsi="Times New Roman" w:cs="Times New Roman"/>
          <w:sz w:val="24"/>
          <w:szCs w:val="24"/>
        </w:rPr>
        <w:t xml:space="preserve"> неоднократно взаимодействовал с военно-патриотическими клубами округа при проведении мероприятий к дням воинской славы.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left="142"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09.05.25г. на празднике Дня Победы музей принимал активное участие фактом проведения акции «Бессмертный полк», а также возложении гирлянды Славы к Вечному огню Мемориала, подготавливая обучающихся школ Пильны.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left="284"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09.12.25г. в День Героев Отечества проведено выездное мероприятие «О героях былых времен…» для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школы «Содружество».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Также руководитель музея приглашался на принятие присяги в военно-патриотические клубы и юнармейские дружины школ округа и в судейство на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Ушаковские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сборы».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В онлайн режиме музей работал на страницах своего сайта: </w:t>
      </w:r>
      <w:proofErr w:type="spell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пильна-</w:t>
      </w:r>
      <w:proofErr w:type="gram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музей.рф</w:t>
      </w:r>
      <w:proofErr w:type="spellEnd"/>
      <w:proofErr w:type="gram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 и в социальной группе </w:t>
      </w:r>
      <w:proofErr w:type="spell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C06" w:rsidRPr="00920C0E" w:rsidRDefault="00095C06" w:rsidP="00095C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Информация по работе с цифровой платформой «Артефакт». В настоящий момент на платформе выгружена две выставки «Слава не меркнет» и «Предметы жизни и быта конца XIX- начало XX в. в.».   </w:t>
      </w:r>
    </w:p>
    <w:p w:rsidR="00095C06" w:rsidRPr="00920C0E" w:rsidRDefault="00095C06" w:rsidP="00095C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>Выставка «Слава не меркнет» содержит в себе 14 экспонатов, выставка «Предметы жизни и быта конца XIX- начало XX в. в.». Находится на стадии загрузки экспонатов и на данный момент содержит 18 экспонатов.</w:t>
      </w:r>
    </w:p>
    <w:p w:rsidR="00095C06" w:rsidRPr="00920C0E" w:rsidRDefault="00095C06" w:rsidP="00095C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План на 2026 год: вести загрузку экспонатов в экспозицию «Предметы жизни и быта конца XIX начало XX вв.».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За отчетный год музей пополнил фонды ОФ- 48 предмета, НВФ- 5 предметов и на 01.01.26. они составляют: ОФ- </w:t>
      </w:r>
      <w:r w:rsidRPr="00920C0E">
        <w:rPr>
          <w:rFonts w:ascii="Times New Roman" w:hAnsi="Times New Roman" w:cs="Times New Roman"/>
          <w:b/>
          <w:sz w:val="24"/>
          <w:szCs w:val="24"/>
        </w:rPr>
        <w:t>2524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предмета, НВФ-</w:t>
      </w:r>
      <w:r w:rsidRPr="00920C0E">
        <w:rPr>
          <w:rFonts w:ascii="Times New Roman" w:hAnsi="Times New Roman" w:cs="Times New Roman"/>
          <w:b/>
          <w:sz w:val="24"/>
          <w:szCs w:val="24"/>
        </w:rPr>
        <w:t>951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предметов.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Посещаемость музея: </w:t>
      </w:r>
      <w:r w:rsidRPr="00920C0E">
        <w:rPr>
          <w:rFonts w:ascii="Times New Roman" w:hAnsi="Times New Roman" w:cs="Times New Roman"/>
          <w:b/>
          <w:sz w:val="24"/>
          <w:szCs w:val="24"/>
        </w:rPr>
        <w:t>15108</w:t>
      </w:r>
      <w:r w:rsidRPr="00920C0E">
        <w:rPr>
          <w:rFonts w:ascii="Times New Roman" w:hAnsi="Times New Roman" w:cs="Times New Roman"/>
          <w:sz w:val="24"/>
          <w:szCs w:val="24"/>
        </w:rPr>
        <w:t xml:space="preserve"> (2024 г.-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14053) человек. Проведено экскурсий в музее – </w:t>
      </w:r>
      <w:r w:rsidRPr="00920C0E">
        <w:rPr>
          <w:rFonts w:ascii="Times New Roman" w:hAnsi="Times New Roman" w:cs="Times New Roman"/>
          <w:b/>
          <w:sz w:val="24"/>
          <w:szCs w:val="24"/>
        </w:rPr>
        <w:t>572</w:t>
      </w:r>
      <w:r w:rsidRPr="00920C0E">
        <w:rPr>
          <w:rFonts w:ascii="Times New Roman" w:hAnsi="Times New Roman" w:cs="Times New Roman"/>
          <w:sz w:val="24"/>
          <w:szCs w:val="24"/>
        </w:rPr>
        <w:t xml:space="preserve"> (2024 г.- 570). Выездных экскурсий проведено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920C0E">
        <w:rPr>
          <w:rFonts w:ascii="Times New Roman" w:hAnsi="Times New Roman" w:cs="Times New Roman"/>
          <w:sz w:val="24"/>
          <w:szCs w:val="24"/>
        </w:rPr>
        <w:t>(2024 г.- 17).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u w:val="single"/>
        </w:rPr>
        <w:t xml:space="preserve">Проблемы: </w:t>
      </w:r>
      <w:r w:rsidRPr="00920C0E">
        <w:rPr>
          <w:rFonts w:ascii="Times New Roman" w:hAnsi="Times New Roman" w:cs="Times New Roman"/>
          <w:sz w:val="24"/>
          <w:szCs w:val="24"/>
        </w:rPr>
        <w:t>отсутствие лишнего пространства для выставочной деятельности и фондохранилища, загруженность которого составляет 95 %.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u w:val="single"/>
        </w:rPr>
        <w:t>Перспективы: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Продолжение активной работы по Пушкинской карте (разработка новых мероприятий с учетом интересов молодежи по мере возможностей музея, освоение новых мастер-классов).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деятельности с развитием темы экспозиции «Музея пилы».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путем приобретения нового выставочного оборудования и интерактивных компонентов для улучшения качества обслуживания населения.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Создание интерактивной экскурсии по стационарным выставкам с привлечением нового оборудования для использования в стенах музея, а также на сайте.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Создание новых и отработка действующих туристических маршрутов по округу.</w:t>
      </w:r>
    </w:p>
    <w:p w:rsidR="00920C0E" w:rsidRDefault="00095C06" w:rsidP="00095C06">
      <w:pPr>
        <w:suppressLineNumbers/>
        <w:snapToGrid w:val="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 </w:t>
      </w:r>
    </w:p>
    <w:p w:rsidR="007D6BDA" w:rsidRPr="00920C0E" w:rsidRDefault="00920C0E" w:rsidP="00095C06">
      <w:pPr>
        <w:suppressLineNumbers/>
        <w:snapToGrid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 xml:space="preserve">«Повышение безопасности дорожного движения в </w:t>
      </w:r>
      <w:proofErr w:type="spellStart"/>
      <w:r w:rsidR="007D6BDA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7D6BDA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округе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C758AF" w:rsidRPr="00920C0E">
        <w:rPr>
          <w:rFonts w:ascii="Times New Roman" w:hAnsi="Times New Roman" w:cs="Times New Roman"/>
          <w:b/>
          <w:sz w:val="24"/>
          <w:szCs w:val="24"/>
        </w:rPr>
        <w:t>2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>5-</w:t>
      </w:r>
      <w:r w:rsidR="00357880" w:rsidRPr="00920C0E">
        <w:rPr>
          <w:rFonts w:ascii="Times New Roman" w:hAnsi="Times New Roman" w:cs="Times New Roman"/>
          <w:b/>
          <w:sz w:val="24"/>
          <w:szCs w:val="24"/>
        </w:rPr>
        <w:t>202</w:t>
      </w:r>
      <w:r w:rsidR="00C758AF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357880" w:rsidRPr="00920C0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>»</w:t>
      </w:r>
      <w:r w:rsidR="007D6BDA"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</w:t>
      </w:r>
      <w:r w:rsidR="00A86AA6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C758AF" w:rsidRPr="00920C0E">
        <w:rPr>
          <w:rFonts w:ascii="Times New Roman" w:hAnsi="Times New Roman" w:cs="Times New Roman"/>
          <w:sz w:val="24"/>
          <w:szCs w:val="24"/>
        </w:rPr>
        <w:t>этой программе исполнены на 0</w:t>
      </w:r>
      <w:r w:rsidR="007D6BDA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100 % Исполнение по индикаторам 10</w:t>
      </w:r>
      <w:r w:rsidR="00357880" w:rsidRPr="00920C0E">
        <w:rPr>
          <w:rFonts w:ascii="Times New Roman" w:hAnsi="Times New Roman" w:cs="Times New Roman"/>
          <w:sz w:val="24"/>
          <w:szCs w:val="24"/>
        </w:rPr>
        <w:t>0</w:t>
      </w:r>
      <w:r w:rsidR="007D6BDA" w:rsidRPr="00920C0E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C758AF" w:rsidRPr="00920C0E">
        <w:rPr>
          <w:rFonts w:ascii="Times New Roman" w:hAnsi="Times New Roman" w:cs="Times New Roman"/>
          <w:sz w:val="24"/>
          <w:szCs w:val="24"/>
        </w:rPr>
        <w:t xml:space="preserve">нет возможности </w:t>
      </w:r>
      <w:proofErr w:type="spellStart"/>
      <w:r w:rsidR="00C758AF" w:rsidRPr="00920C0E">
        <w:rPr>
          <w:rFonts w:ascii="Times New Roman" w:hAnsi="Times New Roman" w:cs="Times New Roman"/>
          <w:sz w:val="24"/>
          <w:szCs w:val="24"/>
        </w:rPr>
        <w:t>расчитать</w:t>
      </w:r>
      <w:proofErr w:type="spellEnd"/>
      <w:r w:rsidR="007D6BDA" w:rsidRPr="00920C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6BDA" w:rsidRPr="00920C0E" w:rsidRDefault="007D6BDA" w:rsidP="004342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   В рамках программы </w:t>
      </w:r>
      <w:proofErr w:type="gramStart"/>
      <w:r w:rsidRPr="00920C0E">
        <w:rPr>
          <w:rFonts w:ascii="Times New Roman" w:hAnsi="Times New Roman"/>
          <w:sz w:val="24"/>
          <w:szCs w:val="24"/>
        </w:rPr>
        <w:t>проведены  плановы</w:t>
      </w:r>
      <w:r w:rsidR="00B24D95" w:rsidRPr="00920C0E">
        <w:rPr>
          <w:rFonts w:ascii="Times New Roman" w:hAnsi="Times New Roman"/>
          <w:sz w:val="24"/>
          <w:szCs w:val="24"/>
        </w:rPr>
        <w:t>е</w:t>
      </w:r>
      <w:proofErr w:type="gramEnd"/>
      <w:r w:rsidRPr="00920C0E">
        <w:rPr>
          <w:rFonts w:ascii="Times New Roman" w:hAnsi="Times New Roman"/>
          <w:sz w:val="24"/>
          <w:szCs w:val="24"/>
        </w:rPr>
        <w:t xml:space="preserve"> мероприятия МБОУ «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Пильнинская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средняя школа №2» совместно с сотрудниками ГИБДД «Водитель уступи дорогу пешеходу»</w:t>
      </w:r>
      <w:r w:rsidR="00B24D95" w:rsidRPr="00920C0E">
        <w:rPr>
          <w:rFonts w:ascii="Times New Roman" w:hAnsi="Times New Roman"/>
          <w:sz w:val="24"/>
          <w:szCs w:val="24"/>
        </w:rPr>
        <w:t>, «Юный пассажир», «Безопасное лето»</w:t>
      </w:r>
      <w:r w:rsidRPr="00920C0E">
        <w:rPr>
          <w:rFonts w:ascii="Times New Roman" w:hAnsi="Times New Roman"/>
          <w:sz w:val="24"/>
          <w:szCs w:val="24"/>
        </w:rPr>
        <w:t xml:space="preserve">; у пешеходных переходах сотрудники ГИБДД проводили остановку автотранспорта, школьники раздавали буклеты о соблюдении дорожного движения; проведена акция «Засветись»; </w:t>
      </w:r>
      <w:r w:rsidR="004342CB" w:rsidRPr="00920C0E">
        <w:rPr>
          <w:rFonts w:ascii="Times New Roman" w:hAnsi="Times New Roman"/>
          <w:sz w:val="24"/>
          <w:szCs w:val="24"/>
        </w:rPr>
        <w:t>обновлена дорожная разметка, пешеходный переход, заменены пришедшие в негодность дорожные знаки.</w:t>
      </w:r>
    </w:p>
    <w:p w:rsidR="00920C0E" w:rsidRDefault="004342CB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20C0E">
        <w:rPr>
          <w:rFonts w:ascii="Times New Roman" w:hAnsi="Times New Roman"/>
          <w:sz w:val="24"/>
          <w:szCs w:val="24"/>
          <w:lang w:val="ru-RU"/>
        </w:rPr>
        <w:t xml:space="preserve">           </w:t>
      </w:r>
    </w:p>
    <w:p w:rsidR="004342CB" w:rsidRPr="00920C0E" w:rsidRDefault="00920C0E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4342CB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 xml:space="preserve">«Формирование доступной среды для инвалидов и маломобильных групп населения в </w:t>
      </w:r>
      <w:proofErr w:type="spellStart"/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>Пильнинском</w:t>
      </w:r>
      <w:proofErr w:type="spellEnd"/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 xml:space="preserve"> муниципальном районе Ни</w:t>
      </w:r>
      <w:r w:rsidR="008C60A3" w:rsidRPr="00920C0E">
        <w:rPr>
          <w:rFonts w:ascii="Times New Roman" w:hAnsi="Times New Roman"/>
          <w:b/>
          <w:bCs/>
          <w:sz w:val="24"/>
          <w:szCs w:val="24"/>
          <w:lang w:val="ru-RU"/>
        </w:rPr>
        <w:t>жегородской области на 2024</w:t>
      </w:r>
      <w:r w:rsidR="009F3627" w:rsidRPr="00920C0E">
        <w:rPr>
          <w:rFonts w:ascii="Times New Roman" w:hAnsi="Times New Roman"/>
          <w:b/>
          <w:bCs/>
          <w:sz w:val="24"/>
          <w:szCs w:val="24"/>
          <w:lang w:val="ru-RU"/>
        </w:rPr>
        <w:t>-202</w:t>
      </w:r>
      <w:r w:rsidR="00166212" w:rsidRPr="00920C0E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 xml:space="preserve"> годы»</w:t>
      </w:r>
      <w:r w:rsidR="004342CB" w:rsidRPr="00920C0E">
        <w:rPr>
          <w:rFonts w:ascii="Times New Roman" w:hAnsi="Times New Roman"/>
          <w:sz w:val="24"/>
          <w:szCs w:val="24"/>
          <w:lang w:val="ru-RU"/>
        </w:rPr>
        <w:t xml:space="preserve"> Бюджетные ассигнования по этой программе исполнены на 100%. Соответственно оценка эффективности – высокая </w:t>
      </w:r>
    </w:p>
    <w:p w:rsidR="004342CB" w:rsidRPr="00920C0E" w:rsidRDefault="004342CB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20C0E">
        <w:rPr>
          <w:rFonts w:ascii="Times New Roman" w:hAnsi="Times New Roman"/>
          <w:sz w:val="24"/>
          <w:szCs w:val="24"/>
          <w:lang w:val="ru-RU"/>
        </w:rPr>
        <w:t xml:space="preserve">            В процессе реализации данной муниципальной программы, целью которой является формирование доступной для инвалидов среды жизнедеятельности в различных ее сферах, а также формирование доступной для инвалидов среды жизнедеятельности в различных ее сферах, а также формирование инвалидам и маломобильным группам населения доступа к объектам социальной инфраструктуры и информации; были достигнуты следующие результаты: в 202</w:t>
      </w:r>
      <w:r w:rsidR="00166212" w:rsidRPr="00920C0E">
        <w:rPr>
          <w:rFonts w:ascii="Times New Roman" w:hAnsi="Times New Roman"/>
          <w:sz w:val="24"/>
          <w:szCs w:val="24"/>
          <w:lang w:val="ru-RU"/>
        </w:rPr>
        <w:t>5</w:t>
      </w:r>
      <w:r w:rsidRPr="00920C0E">
        <w:rPr>
          <w:rFonts w:ascii="Times New Roman" w:hAnsi="Times New Roman"/>
          <w:sz w:val="24"/>
          <w:szCs w:val="24"/>
          <w:lang w:val="ru-RU"/>
        </w:rPr>
        <w:t xml:space="preserve"> году были проведены мероприятия по </w:t>
      </w:r>
      <w:r w:rsidR="004C643B" w:rsidRPr="00920C0E">
        <w:rPr>
          <w:rFonts w:ascii="Times New Roman" w:hAnsi="Times New Roman"/>
          <w:sz w:val="24"/>
          <w:szCs w:val="24"/>
          <w:lang w:val="ru-RU"/>
        </w:rPr>
        <w:t>созданию условий для детей с ограниченными физическими возможностями и детей инвалидов (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ремонт кабинета </w:t>
      </w:r>
      <w:r w:rsidR="008C60A3" w:rsidRPr="00920C0E">
        <w:rPr>
          <w:rFonts w:ascii="Times New Roman" w:hAnsi="Times New Roman"/>
          <w:sz w:val="24"/>
          <w:szCs w:val="24"/>
          <w:lang w:val="ru-RU"/>
        </w:rPr>
        <w:t xml:space="preserve"> логопеда-психолога, приобретение оборудования)</w:t>
      </w:r>
      <w:r w:rsidR="005C73BF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 в М</w:t>
      </w:r>
      <w:r w:rsidR="008C60A3" w:rsidRPr="00920C0E">
        <w:rPr>
          <w:rFonts w:ascii="Times New Roman" w:hAnsi="Times New Roman"/>
          <w:sz w:val="24"/>
          <w:szCs w:val="24"/>
          <w:lang w:val="ru-RU"/>
        </w:rPr>
        <w:t>БД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166212" w:rsidRPr="00920C0E">
        <w:rPr>
          <w:rFonts w:ascii="Times New Roman" w:hAnsi="Times New Roman"/>
          <w:sz w:val="24"/>
          <w:szCs w:val="24"/>
          <w:lang w:val="ru-RU"/>
        </w:rPr>
        <w:t>Можаров-Майданская</w:t>
      </w:r>
      <w:proofErr w:type="spellEnd"/>
      <w:r w:rsidR="005C73BF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6212" w:rsidRPr="00920C0E">
        <w:rPr>
          <w:rFonts w:ascii="Times New Roman" w:hAnsi="Times New Roman"/>
          <w:sz w:val="24"/>
          <w:szCs w:val="24"/>
          <w:lang w:val="ru-RU"/>
        </w:rPr>
        <w:t>СШ</w:t>
      </w:r>
      <w:r w:rsidR="008C60A3" w:rsidRPr="00920C0E">
        <w:rPr>
          <w:rFonts w:ascii="Times New Roman" w:hAnsi="Times New Roman"/>
          <w:sz w:val="24"/>
          <w:szCs w:val="24"/>
          <w:lang w:val="ru-RU"/>
        </w:rPr>
        <w:t>.</w:t>
      </w:r>
    </w:p>
    <w:p w:rsidR="00920C0E" w:rsidRDefault="00F8684F" w:rsidP="00F868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</w:t>
      </w:r>
    </w:p>
    <w:p w:rsidR="00920C0E" w:rsidRDefault="00920C0E" w:rsidP="00F868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8684F" w:rsidRPr="00920C0E" w:rsidRDefault="00920C0E" w:rsidP="00F868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на территории </w:t>
      </w:r>
      <w:proofErr w:type="spellStart"/>
      <w:r w:rsidR="00F8684F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202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>3</w:t>
      </w:r>
      <w:r w:rsidR="001C3C6C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EC57AF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64192E" w:rsidRPr="00920C0E">
        <w:rPr>
          <w:rFonts w:ascii="Times New Roman" w:hAnsi="Times New Roman" w:cs="Times New Roman"/>
          <w:b/>
          <w:sz w:val="24"/>
          <w:szCs w:val="24"/>
        </w:rPr>
        <w:t>годы</w:t>
      </w:r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F8684F" w:rsidRPr="00920C0E">
        <w:rPr>
          <w:rFonts w:ascii="Times New Roman" w:hAnsi="Times New Roman" w:cs="Times New Roman"/>
          <w:sz w:val="24"/>
          <w:szCs w:val="24"/>
        </w:rPr>
        <w:t xml:space="preserve"> Бюджетные </w:t>
      </w:r>
      <w:r w:rsidR="00EC57AF" w:rsidRPr="00920C0E">
        <w:rPr>
          <w:rFonts w:ascii="Times New Roman" w:hAnsi="Times New Roman" w:cs="Times New Roman"/>
          <w:sz w:val="24"/>
          <w:szCs w:val="24"/>
        </w:rPr>
        <w:lastRenderedPageBreak/>
        <w:t>ассигнования исполнены на 100</w:t>
      </w:r>
      <w:r w:rsidR="00F8684F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6C1244" w:rsidRPr="00920C0E">
        <w:rPr>
          <w:rFonts w:ascii="Times New Roman" w:hAnsi="Times New Roman" w:cs="Times New Roman"/>
          <w:sz w:val="24"/>
          <w:szCs w:val="24"/>
        </w:rPr>
        <w:t>е мероприятия реализованы на 95</w:t>
      </w:r>
      <w:r w:rsidR="00F8684F" w:rsidRPr="00920C0E">
        <w:rPr>
          <w:rFonts w:ascii="Times New Roman" w:hAnsi="Times New Roman" w:cs="Times New Roman"/>
          <w:sz w:val="24"/>
          <w:szCs w:val="24"/>
        </w:rPr>
        <w:t>%,</w:t>
      </w:r>
      <w:r w:rsidR="00EC57AF" w:rsidRPr="00920C0E">
        <w:rPr>
          <w:rFonts w:ascii="Times New Roman" w:hAnsi="Times New Roman" w:cs="Times New Roman"/>
          <w:sz w:val="24"/>
          <w:szCs w:val="24"/>
        </w:rPr>
        <w:t xml:space="preserve"> исполнение по индикаторам 91</w:t>
      </w:r>
      <w:r w:rsidR="00F8684F" w:rsidRPr="00920C0E">
        <w:rPr>
          <w:rFonts w:ascii="Times New Roman" w:hAnsi="Times New Roman" w:cs="Times New Roman"/>
          <w:sz w:val="24"/>
          <w:szCs w:val="24"/>
        </w:rPr>
        <w:t>%. Оценка степени эффективности программы высокая.</w:t>
      </w:r>
    </w:p>
    <w:p w:rsidR="00F8684F" w:rsidRPr="00920C0E" w:rsidRDefault="00F8684F" w:rsidP="00F8684F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За 202</w:t>
      </w:r>
      <w:r w:rsidR="00EC57AF" w:rsidRPr="00920C0E">
        <w:rPr>
          <w:rFonts w:ascii="Times New Roman" w:hAnsi="Times New Roman" w:cs="Times New Roman"/>
        </w:rPr>
        <w:t>5</w:t>
      </w:r>
      <w:r w:rsidRPr="00920C0E">
        <w:rPr>
          <w:rFonts w:ascii="Times New Roman" w:hAnsi="Times New Roman" w:cs="Times New Roman"/>
        </w:rPr>
        <w:t xml:space="preserve"> год зарегистрировано и осу</w:t>
      </w:r>
      <w:r w:rsidR="00EC57AF" w:rsidRPr="00920C0E">
        <w:rPr>
          <w:rFonts w:ascii="Times New Roman" w:hAnsi="Times New Roman" w:cs="Times New Roman"/>
        </w:rPr>
        <w:t>ществляют  свою деятельность 37</w:t>
      </w:r>
      <w:r w:rsidR="001C3C6C" w:rsidRPr="00920C0E">
        <w:rPr>
          <w:rFonts w:ascii="Times New Roman" w:hAnsi="Times New Roman" w:cs="Times New Roman"/>
        </w:rPr>
        <w:t>3</w:t>
      </w:r>
      <w:r w:rsidRPr="00920C0E">
        <w:rPr>
          <w:rFonts w:ascii="Times New Roman" w:hAnsi="Times New Roman" w:cs="Times New Roman"/>
        </w:rPr>
        <w:t xml:space="preserve"> субъект</w:t>
      </w:r>
      <w:r w:rsidR="0064192E" w:rsidRPr="00920C0E">
        <w:rPr>
          <w:rFonts w:ascii="Times New Roman" w:hAnsi="Times New Roman" w:cs="Times New Roman"/>
        </w:rPr>
        <w:t>а</w:t>
      </w:r>
      <w:r w:rsidRPr="00920C0E">
        <w:rPr>
          <w:rFonts w:ascii="Times New Roman" w:hAnsi="Times New Roman" w:cs="Times New Roman"/>
        </w:rPr>
        <w:t xml:space="preserve"> малого и среднего предпринимательства, в том числе </w:t>
      </w:r>
      <w:r w:rsidR="002147A1" w:rsidRPr="00920C0E">
        <w:rPr>
          <w:rFonts w:ascii="Times New Roman" w:hAnsi="Times New Roman" w:cs="Times New Roman"/>
        </w:rPr>
        <w:t>69</w:t>
      </w:r>
      <w:r w:rsidRPr="00920C0E">
        <w:rPr>
          <w:rFonts w:ascii="Times New Roman" w:hAnsi="Times New Roman" w:cs="Times New Roman"/>
        </w:rPr>
        <w:t xml:space="preserve"> малых и средних предприятий, </w:t>
      </w:r>
      <w:r w:rsidR="002147A1" w:rsidRPr="00920C0E">
        <w:rPr>
          <w:rFonts w:ascii="Times New Roman" w:hAnsi="Times New Roman" w:cs="Times New Roman"/>
        </w:rPr>
        <w:t>304</w:t>
      </w:r>
      <w:r w:rsidRPr="00920C0E">
        <w:rPr>
          <w:rFonts w:ascii="Times New Roman" w:hAnsi="Times New Roman" w:cs="Times New Roman"/>
        </w:rPr>
        <w:t xml:space="preserve"> индивидуальных предпринимателей. </w:t>
      </w:r>
    </w:p>
    <w:p w:rsidR="00F8684F" w:rsidRPr="00920C0E" w:rsidRDefault="00F8684F" w:rsidP="00454E57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Численность работающих в малых и средних предприятиях и у ИП за 202</w:t>
      </w:r>
      <w:r w:rsidR="002147A1" w:rsidRPr="00920C0E">
        <w:rPr>
          <w:rFonts w:ascii="Times New Roman" w:hAnsi="Times New Roman" w:cs="Times New Roman"/>
        </w:rPr>
        <w:t xml:space="preserve">5 </w:t>
      </w:r>
      <w:r w:rsidRPr="00920C0E">
        <w:rPr>
          <w:rFonts w:ascii="Times New Roman" w:hAnsi="Times New Roman" w:cs="Times New Roman"/>
        </w:rPr>
        <w:t xml:space="preserve">год </w:t>
      </w:r>
      <w:r w:rsidR="00D240CE" w:rsidRPr="00920C0E">
        <w:rPr>
          <w:rFonts w:ascii="Times New Roman" w:hAnsi="Times New Roman" w:cs="Times New Roman"/>
        </w:rPr>
        <w:t xml:space="preserve">осталась на </w:t>
      </w:r>
      <w:proofErr w:type="gramStart"/>
      <w:r w:rsidR="00D240CE" w:rsidRPr="00920C0E">
        <w:rPr>
          <w:rFonts w:ascii="Times New Roman" w:hAnsi="Times New Roman" w:cs="Times New Roman"/>
        </w:rPr>
        <w:t xml:space="preserve">уровне </w:t>
      </w:r>
      <w:r w:rsidRPr="00920C0E">
        <w:rPr>
          <w:rFonts w:ascii="Times New Roman" w:hAnsi="Times New Roman" w:cs="Times New Roman"/>
        </w:rPr>
        <w:t xml:space="preserve"> с</w:t>
      </w:r>
      <w:proofErr w:type="gramEnd"/>
      <w:r w:rsidRPr="00920C0E">
        <w:rPr>
          <w:rFonts w:ascii="Times New Roman" w:hAnsi="Times New Roman" w:cs="Times New Roman"/>
        </w:rPr>
        <w:t xml:space="preserve"> аналогичным периодо</w:t>
      </w:r>
      <w:r w:rsidR="00B24D95" w:rsidRPr="00920C0E">
        <w:rPr>
          <w:rFonts w:ascii="Times New Roman" w:hAnsi="Times New Roman" w:cs="Times New Roman"/>
        </w:rPr>
        <w:t>м 202</w:t>
      </w:r>
      <w:r w:rsidR="001C3C6C" w:rsidRPr="00920C0E">
        <w:rPr>
          <w:rFonts w:ascii="Times New Roman" w:hAnsi="Times New Roman" w:cs="Times New Roman"/>
        </w:rPr>
        <w:t>3 года и составила 1765</w:t>
      </w:r>
      <w:r w:rsidRPr="00920C0E">
        <w:rPr>
          <w:rFonts w:ascii="Times New Roman" w:hAnsi="Times New Roman" w:cs="Times New Roman"/>
        </w:rPr>
        <w:t xml:space="preserve"> чел. Объем отгруженной продукции с</w:t>
      </w:r>
      <w:r w:rsidR="00454E57" w:rsidRPr="00920C0E">
        <w:rPr>
          <w:rFonts w:ascii="Times New Roman" w:hAnsi="Times New Roman" w:cs="Times New Roman"/>
        </w:rPr>
        <w:t>обственного производства за 202</w:t>
      </w:r>
      <w:r w:rsidR="00D240CE" w:rsidRPr="00920C0E">
        <w:rPr>
          <w:rFonts w:ascii="Times New Roman" w:hAnsi="Times New Roman" w:cs="Times New Roman"/>
        </w:rPr>
        <w:t>5</w:t>
      </w:r>
      <w:r w:rsidRPr="00920C0E">
        <w:rPr>
          <w:rFonts w:ascii="Times New Roman" w:hAnsi="Times New Roman" w:cs="Times New Roman"/>
        </w:rPr>
        <w:t xml:space="preserve"> год составил </w:t>
      </w:r>
      <w:r w:rsidR="00D240CE" w:rsidRPr="00920C0E">
        <w:rPr>
          <w:rFonts w:ascii="Times New Roman" w:hAnsi="Times New Roman" w:cs="Times New Roman"/>
        </w:rPr>
        <w:t>4984,7</w:t>
      </w:r>
      <w:r w:rsidRPr="00920C0E">
        <w:rPr>
          <w:rFonts w:ascii="Times New Roman" w:hAnsi="Times New Roman" w:cs="Times New Roman"/>
        </w:rPr>
        <w:t xml:space="preserve"> млн руб., темп роста к аналогичному пери</w:t>
      </w:r>
      <w:r w:rsidR="00B24D95" w:rsidRPr="00920C0E">
        <w:rPr>
          <w:rFonts w:ascii="Times New Roman" w:hAnsi="Times New Roman" w:cs="Times New Roman"/>
        </w:rPr>
        <w:t xml:space="preserve">оду прошлого года составил </w:t>
      </w:r>
      <w:r w:rsidR="00D240CE" w:rsidRPr="00920C0E">
        <w:rPr>
          <w:rFonts w:ascii="Times New Roman" w:hAnsi="Times New Roman" w:cs="Times New Roman"/>
        </w:rPr>
        <w:t>1,5</w:t>
      </w:r>
      <w:r w:rsidRPr="00920C0E">
        <w:rPr>
          <w:rFonts w:ascii="Times New Roman" w:hAnsi="Times New Roman" w:cs="Times New Roman"/>
        </w:rPr>
        <w:t xml:space="preserve">%. Доля </w:t>
      </w:r>
      <w:r w:rsidR="00B24D95" w:rsidRPr="00920C0E">
        <w:rPr>
          <w:rFonts w:ascii="Times New Roman" w:hAnsi="Times New Roman" w:cs="Times New Roman"/>
        </w:rPr>
        <w:t xml:space="preserve">среднесписочной численности (без внешних совместителей), занятых у </w:t>
      </w:r>
      <w:proofErr w:type="gramStart"/>
      <w:r w:rsidR="00B24D95" w:rsidRPr="00920C0E">
        <w:rPr>
          <w:rFonts w:ascii="Times New Roman" w:hAnsi="Times New Roman" w:cs="Times New Roman"/>
        </w:rPr>
        <w:t>субъектов  малого</w:t>
      </w:r>
      <w:proofErr w:type="gramEnd"/>
      <w:r w:rsidR="00B24D95" w:rsidRPr="00920C0E">
        <w:rPr>
          <w:rFonts w:ascii="Times New Roman" w:hAnsi="Times New Roman" w:cs="Times New Roman"/>
        </w:rPr>
        <w:t xml:space="preserve"> и среднего предпринимательства, в общей численности занятого населения </w:t>
      </w:r>
      <w:r w:rsidRPr="00920C0E">
        <w:rPr>
          <w:rFonts w:ascii="Times New Roman" w:hAnsi="Times New Roman" w:cs="Times New Roman"/>
        </w:rPr>
        <w:t>за</w:t>
      </w:r>
      <w:r w:rsidR="00454E57" w:rsidRPr="00920C0E">
        <w:rPr>
          <w:rFonts w:ascii="Times New Roman" w:hAnsi="Times New Roman" w:cs="Times New Roman"/>
        </w:rPr>
        <w:t xml:space="preserve"> 202</w:t>
      </w:r>
      <w:r w:rsidR="00D240CE" w:rsidRPr="00920C0E">
        <w:rPr>
          <w:rFonts w:ascii="Times New Roman" w:hAnsi="Times New Roman" w:cs="Times New Roman"/>
        </w:rPr>
        <w:t>5 г. равна  42,6</w:t>
      </w:r>
      <w:r w:rsidRPr="00920C0E">
        <w:rPr>
          <w:rFonts w:ascii="Times New Roman" w:hAnsi="Times New Roman" w:cs="Times New Roman"/>
        </w:rPr>
        <w:t xml:space="preserve">%. </w:t>
      </w:r>
    </w:p>
    <w:p w:rsidR="00F8684F" w:rsidRPr="00920C0E" w:rsidRDefault="00F8684F" w:rsidP="00F8684F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Оборот по субъектам малого и сред</w:t>
      </w:r>
      <w:r w:rsidR="00955743" w:rsidRPr="00920C0E">
        <w:rPr>
          <w:rFonts w:ascii="Times New Roman" w:hAnsi="Times New Roman" w:cs="Times New Roman"/>
        </w:rPr>
        <w:t>него предпринимательства за 202</w:t>
      </w:r>
      <w:r w:rsidR="00D240CE" w:rsidRPr="00920C0E">
        <w:rPr>
          <w:rFonts w:ascii="Times New Roman" w:hAnsi="Times New Roman" w:cs="Times New Roman"/>
        </w:rPr>
        <w:t>5</w:t>
      </w:r>
      <w:r w:rsidR="00454E57" w:rsidRPr="00920C0E">
        <w:rPr>
          <w:rFonts w:ascii="Times New Roman" w:hAnsi="Times New Roman" w:cs="Times New Roman"/>
        </w:rPr>
        <w:t xml:space="preserve"> год составили </w:t>
      </w:r>
      <w:r w:rsidR="00D240CE" w:rsidRPr="00920C0E">
        <w:rPr>
          <w:rFonts w:ascii="Times New Roman" w:hAnsi="Times New Roman" w:cs="Times New Roman"/>
        </w:rPr>
        <w:t>5633,5</w:t>
      </w:r>
      <w:r w:rsidRPr="00920C0E">
        <w:rPr>
          <w:rFonts w:ascii="Times New Roman" w:hAnsi="Times New Roman" w:cs="Times New Roman"/>
        </w:rPr>
        <w:t xml:space="preserve"> мл</w:t>
      </w:r>
      <w:r w:rsidR="00955743" w:rsidRPr="00920C0E">
        <w:rPr>
          <w:rFonts w:ascii="Times New Roman" w:hAnsi="Times New Roman" w:cs="Times New Roman"/>
        </w:rPr>
        <w:t>н</w:t>
      </w:r>
      <w:r w:rsidR="005A7C31" w:rsidRPr="00920C0E">
        <w:rPr>
          <w:rFonts w:ascii="Times New Roman" w:hAnsi="Times New Roman" w:cs="Times New Roman"/>
        </w:rPr>
        <w:t>. руб., что меньше</w:t>
      </w:r>
      <w:r w:rsidR="00955743" w:rsidRPr="00920C0E">
        <w:rPr>
          <w:rFonts w:ascii="Times New Roman" w:hAnsi="Times New Roman" w:cs="Times New Roman"/>
        </w:rPr>
        <w:t xml:space="preserve"> </w:t>
      </w:r>
      <w:r w:rsidR="00C472D1" w:rsidRPr="00920C0E">
        <w:rPr>
          <w:rFonts w:ascii="Times New Roman" w:hAnsi="Times New Roman" w:cs="Times New Roman"/>
        </w:rPr>
        <w:t xml:space="preserve"> планового значения на  9,7</w:t>
      </w:r>
      <w:r w:rsidRPr="00920C0E">
        <w:rPr>
          <w:rFonts w:ascii="Times New Roman" w:hAnsi="Times New Roman" w:cs="Times New Roman"/>
        </w:rPr>
        <w:t xml:space="preserve">%. </w:t>
      </w:r>
    </w:p>
    <w:p w:rsidR="00955743" w:rsidRPr="00920C0E" w:rsidRDefault="00F8684F" w:rsidP="0095574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Средняя зарплата на 1 работника в субъектах малого и среднего предпринимательства за 202</w:t>
      </w:r>
      <w:r w:rsidR="00C472D1" w:rsidRPr="00920C0E">
        <w:rPr>
          <w:rFonts w:ascii="Times New Roman" w:hAnsi="Times New Roman" w:cs="Times New Roman"/>
        </w:rPr>
        <w:t>5</w:t>
      </w:r>
      <w:r w:rsidR="00955743" w:rsidRPr="00920C0E">
        <w:rPr>
          <w:rFonts w:ascii="Times New Roman" w:hAnsi="Times New Roman" w:cs="Times New Roman"/>
        </w:rPr>
        <w:t xml:space="preserve"> г., составила </w:t>
      </w:r>
      <w:r w:rsidR="00C472D1" w:rsidRPr="00920C0E">
        <w:rPr>
          <w:rFonts w:ascii="Times New Roman" w:hAnsi="Times New Roman" w:cs="Times New Roman"/>
        </w:rPr>
        <w:t>53923,5</w:t>
      </w:r>
      <w:r w:rsidR="00955743" w:rsidRPr="00920C0E">
        <w:rPr>
          <w:rFonts w:ascii="Times New Roman" w:hAnsi="Times New Roman" w:cs="Times New Roman"/>
        </w:rPr>
        <w:t xml:space="preserve"> руб., что на </w:t>
      </w:r>
      <w:r w:rsidR="00C472D1" w:rsidRPr="00920C0E">
        <w:rPr>
          <w:rFonts w:ascii="Times New Roman" w:hAnsi="Times New Roman" w:cs="Times New Roman"/>
        </w:rPr>
        <w:t>8621,8руб. или на 119</w:t>
      </w:r>
      <w:r w:rsidRPr="00920C0E">
        <w:rPr>
          <w:rFonts w:ascii="Times New Roman" w:hAnsi="Times New Roman" w:cs="Times New Roman"/>
        </w:rPr>
        <w:t>% больше показателя 202</w:t>
      </w:r>
      <w:r w:rsidR="00C472D1" w:rsidRPr="00920C0E">
        <w:rPr>
          <w:rFonts w:ascii="Times New Roman" w:hAnsi="Times New Roman" w:cs="Times New Roman"/>
        </w:rPr>
        <w:t>4</w:t>
      </w:r>
      <w:r w:rsidRPr="00920C0E">
        <w:rPr>
          <w:rFonts w:ascii="Times New Roman" w:hAnsi="Times New Roman" w:cs="Times New Roman"/>
        </w:rPr>
        <w:t xml:space="preserve"> г. </w:t>
      </w:r>
    </w:p>
    <w:p w:rsidR="00920C0E" w:rsidRDefault="00920C0E" w:rsidP="0095574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55743" w:rsidRPr="00920C0E" w:rsidRDefault="00955743" w:rsidP="0095574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/>
          <w:sz w:val="24"/>
          <w:szCs w:val="24"/>
        </w:rPr>
        <w:t xml:space="preserve"> «</w:t>
      </w:r>
      <w:r w:rsidRPr="00920C0E">
        <w:rPr>
          <w:rFonts w:ascii="Times New Roman" w:hAnsi="Times New Roman"/>
          <w:b/>
          <w:sz w:val="24"/>
          <w:szCs w:val="24"/>
        </w:rPr>
        <w:t xml:space="preserve">Развитие туризма в </w:t>
      </w:r>
      <w:proofErr w:type="spellStart"/>
      <w:r w:rsidRPr="00920C0E">
        <w:rPr>
          <w:rFonts w:ascii="Times New Roman" w:hAnsi="Times New Roman"/>
          <w:b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b/>
          <w:sz w:val="24"/>
          <w:szCs w:val="24"/>
        </w:rPr>
        <w:t xml:space="preserve"> м</w:t>
      </w:r>
      <w:r w:rsidR="00C56F3B" w:rsidRPr="00920C0E">
        <w:rPr>
          <w:rFonts w:ascii="Times New Roman" w:hAnsi="Times New Roman"/>
          <w:b/>
          <w:sz w:val="24"/>
          <w:szCs w:val="24"/>
        </w:rPr>
        <w:t xml:space="preserve">униципальном </w:t>
      </w:r>
      <w:r w:rsidR="009F3627" w:rsidRPr="00920C0E">
        <w:rPr>
          <w:rFonts w:ascii="Times New Roman" w:hAnsi="Times New Roman"/>
          <w:b/>
          <w:sz w:val="24"/>
          <w:szCs w:val="24"/>
        </w:rPr>
        <w:t>округе</w:t>
      </w:r>
      <w:r w:rsidR="00C56F3B" w:rsidRPr="00920C0E">
        <w:rPr>
          <w:rFonts w:ascii="Times New Roman" w:hAnsi="Times New Roman"/>
          <w:b/>
          <w:sz w:val="24"/>
          <w:szCs w:val="24"/>
        </w:rPr>
        <w:t xml:space="preserve"> на 2018-202</w:t>
      </w:r>
      <w:r w:rsidR="002A0720" w:rsidRPr="00920C0E">
        <w:rPr>
          <w:rFonts w:ascii="Times New Roman" w:hAnsi="Times New Roman"/>
          <w:b/>
          <w:sz w:val="24"/>
          <w:szCs w:val="24"/>
        </w:rPr>
        <w:t>7</w:t>
      </w:r>
      <w:r w:rsidRPr="00920C0E">
        <w:rPr>
          <w:rFonts w:ascii="Times New Roman" w:hAnsi="Times New Roman"/>
          <w:b/>
          <w:sz w:val="24"/>
          <w:szCs w:val="24"/>
        </w:rPr>
        <w:t xml:space="preserve">годы». </w:t>
      </w:r>
      <w:r w:rsidRPr="00920C0E">
        <w:rPr>
          <w:rFonts w:ascii="Times New Roman" w:hAnsi="Times New Roman"/>
          <w:sz w:val="24"/>
          <w:szCs w:val="24"/>
        </w:rPr>
        <w:t>Бюджетные ассигнования по этой программе исполнены на 100% от плана. Запланированные мероприятия реализованы на 80%</w:t>
      </w:r>
      <w:r w:rsidR="002A0720" w:rsidRPr="00920C0E">
        <w:rPr>
          <w:rFonts w:ascii="Times New Roman" w:hAnsi="Times New Roman"/>
          <w:sz w:val="24"/>
          <w:szCs w:val="24"/>
        </w:rPr>
        <w:t xml:space="preserve"> Исполнение по индикаторам </w:t>
      </w:r>
      <w:r w:rsidR="00EB4F81" w:rsidRPr="008179D6">
        <w:rPr>
          <w:rFonts w:ascii="Times New Roman" w:hAnsi="Times New Roman"/>
          <w:sz w:val="24"/>
          <w:szCs w:val="24"/>
        </w:rPr>
        <w:t>119</w:t>
      </w:r>
      <w:r w:rsidRPr="008179D6">
        <w:rPr>
          <w:rFonts w:ascii="Times New Roman" w:hAnsi="Times New Roman"/>
          <w:sz w:val="24"/>
          <w:szCs w:val="24"/>
        </w:rPr>
        <w:t>%</w:t>
      </w:r>
      <w:r w:rsidRPr="00920C0E">
        <w:rPr>
          <w:rFonts w:ascii="Times New Roman" w:hAnsi="Times New Roman"/>
          <w:sz w:val="24"/>
          <w:szCs w:val="24"/>
        </w:rPr>
        <w:t>. Оце</w:t>
      </w:r>
      <w:r w:rsidR="002A0720" w:rsidRPr="00920C0E">
        <w:rPr>
          <w:rFonts w:ascii="Times New Roman" w:hAnsi="Times New Roman"/>
          <w:sz w:val="24"/>
          <w:szCs w:val="24"/>
        </w:rPr>
        <w:t>нка эффективности программы  – средняя</w:t>
      </w:r>
      <w:r w:rsidRPr="00920C0E">
        <w:rPr>
          <w:rFonts w:ascii="Times New Roman" w:hAnsi="Times New Roman"/>
          <w:sz w:val="24"/>
          <w:szCs w:val="24"/>
        </w:rPr>
        <w:t xml:space="preserve">. </w:t>
      </w:r>
    </w:p>
    <w:p w:rsidR="00955743" w:rsidRPr="00920C0E" w:rsidRDefault="00955743" w:rsidP="00955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/>
          <w:sz w:val="24"/>
          <w:szCs w:val="24"/>
          <w:lang w:eastAsia="ru-RU"/>
        </w:rPr>
        <w:t xml:space="preserve">В отчетном году проведены мероприятия, связанные с событийным туризмом, среди которых «Новый год», «Масленица» и другие. Соревнования по подледному лову «Пильнинский ерш» традиционно привлекает любителей зимнего лова. </w:t>
      </w:r>
    </w:p>
    <w:p w:rsidR="003C09C5" w:rsidRPr="00920C0E" w:rsidRDefault="00955743" w:rsidP="00955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/>
          <w:sz w:val="24"/>
          <w:szCs w:val="24"/>
          <w:lang w:eastAsia="ru-RU"/>
        </w:rPr>
        <w:t>Проводились традиционные туристические маршруты «Свет пречистый» и «Нижегородская Мекка</w:t>
      </w:r>
      <w:r w:rsidR="00C42B79" w:rsidRPr="00920C0E">
        <w:rPr>
          <w:rFonts w:ascii="Times New Roman" w:hAnsi="Times New Roman"/>
          <w:sz w:val="24"/>
          <w:szCs w:val="24"/>
          <w:lang w:eastAsia="ru-RU"/>
        </w:rPr>
        <w:t>». Для улучшений условий проведения экскурсионного обслуживания посетителей музея и групп туристов, приобретен баннер и комплект стендов</w:t>
      </w:r>
      <w:r w:rsidR="00DA51E7" w:rsidRPr="00920C0E">
        <w:rPr>
          <w:rFonts w:ascii="Times New Roman" w:hAnsi="Times New Roman"/>
          <w:sz w:val="24"/>
          <w:szCs w:val="24"/>
          <w:lang w:eastAsia="ru-RU"/>
        </w:rPr>
        <w:t>.</w:t>
      </w:r>
    </w:p>
    <w:p w:rsidR="00920C0E" w:rsidRDefault="00920C0E" w:rsidP="00C84D8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D89" w:rsidRPr="00920C0E" w:rsidRDefault="00C84D89" w:rsidP="00C84D89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«Управление муниципальной собственностью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Ни</w:t>
      </w:r>
      <w:r w:rsidR="00DE3754" w:rsidRPr="00920C0E">
        <w:rPr>
          <w:rFonts w:ascii="Times New Roman" w:hAnsi="Times New Roman" w:cs="Times New Roman"/>
          <w:b/>
          <w:sz w:val="24"/>
          <w:szCs w:val="24"/>
        </w:rPr>
        <w:t>жегородской области на 2025</w:t>
      </w:r>
      <w:r w:rsidR="00955743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DE3754" w:rsidRPr="00920C0E">
        <w:rPr>
          <w:rFonts w:ascii="Times New Roman" w:hAnsi="Times New Roman" w:cs="Times New Roman"/>
          <w:b/>
          <w:sz w:val="24"/>
          <w:szCs w:val="24"/>
        </w:rPr>
        <w:t>8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годы».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 </w:t>
      </w:r>
      <w:r w:rsidR="00DE3754" w:rsidRPr="00920C0E">
        <w:rPr>
          <w:rFonts w:ascii="Times New Roman" w:hAnsi="Times New Roman" w:cs="Times New Roman"/>
          <w:sz w:val="24"/>
          <w:szCs w:val="24"/>
        </w:rPr>
        <w:t>этой программе исполнены на 99,7</w:t>
      </w:r>
      <w:r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100%, исполн</w:t>
      </w:r>
      <w:r w:rsidR="00DE3754" w:rsidRPr="00920C0E">
        <w:rPr>
          <w:rFonts w:ascii="Times New Roman" w:hAnsi="Times New Roman" w:cs="Times New Roman"/>
          <w:sz w:val="24"/>
          <w:szCs w:val="24"/>
        </w:rPr>
        <w:t xml:space="preserve">ение по индикатору </w:t>
      </w:r>
      <w:r w:rsidR="00DE3754" w:rsidRPr="008179D6">
        <w:rPr>
          <w:rFonts w:ascii="Times New Roman" w:hAnsi="Times New Roman" w:cs="Times New Roman"/>
          <w:sz w:val="24"/>
          <w:szCs w:val="24"/>
        </w:rPr>
        <w:t>1</w:t>
      </w:r>
      <w:r w:rsidR="008179D6" w:rsidRPr="008179D6">
        <w:rPr>
          <w:rFonts w:ascii="Times New Roman" w:hAnsi="Times New Roman" w:cs="Times New Roman"/>
          <w:sz w:val="24"/>
          <w:szCs w:val="24"/>
        </w:rPr>
        <w:t>10,7</w:t>
      </w:r>
      <w:r w:rsidRPr="008179D6">
        <w:rPr>
          <w:rFonts w:ascii="Times New Roman" w:hAnsi="Times New Roman" w:cs="Times New Roman"/>
          <w:sz w:val="24"/>
          <w:szCs w:val="24"/>
        </w:rPr>
        <w:t>%.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Оценка степен</w:t>
      </w:r>
      <w:r w:rsidR="0074790D" w:rsidRPr="00920C0E">
        <w:rPr>
          <w:rFonts w:ascii="Times New Roman" w:hAnsi="Times New Roman" w:cs="Times New Roman"/>
          <w:sz w:val="24"/>
          <w:szCs w:val="24"/>
        </w:rPr>
        <w:t xml:space="preserve">и эффективности программы </w:t>
      </w:r>
      <w:r w:rsidR="00DE3754" w:rsidRPr="00920C0E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920C0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84D89" w:rsidRPr="00920C0E" w:rsidRDefault="00C84D89" w:rsidP="00C8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     </w:t>
      </w:r>
      <w:r w:rsidR="0074790D" w:rsidRPr="00920C0E">
        <w:rPr>
          <w:rFonts w:ascii="Times New Roman" w:hAnsi="Times New Roman"/>
          <w:sz w:val="24"/>
          <w:szCs w:val="24"/>
        </w:rPr>
        <w:t>В 202</w:t>
      </w:r>
      <w:r w:rsidR="00DE3754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 году величина      прямых финансовых  поступлений   в местный      бюджет      от управления    муниципальной</w:t>
      </w:r>
      <w:r w:rsidR="0074790D" w:rsidRPr="00920C0E">
        <w:rPr>
          <w:rFonts w:ascii="Times New Roman" w:hAnsi="Times New Roman"/>
          <w:sz w:val="24"/>
          <w:szCs w:val="24"/>
        </w:rPr>
        <w:t xml:space="preserve"> собственностью составила </w:t>
      </w:r>
      <w:r w:rsidR="00DE3754" w:rsidRPr="00920C0E">
        <w:rPr>
          <w:rFonts w:ascii="Times New Roman" w:hAnsi="Times New Roman"/>
          <w:sz w:val="24"/>
          <w:szCs w:val="24"/>
        </w:rPr>
        <w:t>9752,139</w:t>
      </w:r>
      <w:r w:rsidRPr="00920C0E">
        <w:rPr>
          <w:rFonts w:ascii="Times New Roman" w:hAnsi="Times New Roman"/>
          <w:sz w:val="24"/>
          <w:szCs w:val="24"/>
        </w:rPr>
        <w:t xml:space="preserve">  тыс. руб. при первоначальном плане </w:t>
      </w:r>
      <w:r w:rsidR="00DE3754" w:rsidRPr="00920C0E">
        <w:rPr>
          <w:rFonts w:ascii="Times New Roman" w:hAnsi="Times New Roman"/>
          <w:sz w:val="24"/>
          <w:szCs w:val="24"/>
        </w:rPr>
        <w:t>9813</w:t>
      </w:r>
      <w:r w:rsidR="005A0615" w:rsidRPr="00920C0E">
        <w:rPr>
          <w:rFonts w:ascii="Times New Roman" w:hAnsi="Times New Roman"/>
          <w:sz w:val="24"/>
          <w:szCs w:val="24"/>
        </w:rPr>
        <w:t xml:space="preserve"> </w:t>
      </w:r>
      <w:r w:rsidRPr="00920C0E">
        <w:rPr>
          <w:rFonts w:ascii="Times New Roman" w:hAnsi="Times New Roman"/>
          <w:sz w:val="24"/>
          <w:szCs w:val="24"/>
        </w:rPr>
        <w:t xml:space="preserve">тыс. руб. Перевыполнение плана достигнуто за счет поступления платы </w:t>
      </w:r>
      <w:r w:rsidR="005A0615" w:rsidRPr="00920C0E">
        <w:rPr>
          <w:rFonts w:ascii="Times New Roman" w:hAnsi="Times New Roman"/>
          <w:sz w:val="24"/>
          <w:szCs w:val="24"/>
        </w:rPr>
        <w:t>от продажи земельных участков и объектов недвижимости, находящихся в муниципальной собственности</w:t>
      </w:r>
      <w:r w:rsidRPr="00920C0E">
        <w:rPr>
          <w:rFonts w:ascii="Times New Roman" w:hAnsi="Times New Roman"/>
          <w:sz w:val="24"/>
          <w:szCs w:val="24"/>
        </w:rPr>
        <w:t xml:space="preserve">. </w:t>
      </w:r>
    </w:p>
    <w:p w:rsidR="00C84D89" w:rsidRPr="00920C0E" w:rsidRDefault="00C84D89" w:rsidP="00C8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    Плановая экономическая эффективность (соотношение  величины      прямых финансовых  поступлений   в местный      бюджет      от управления    муниципальной собственностью к  расходам    на    осуществление     программных мероприятий) достигнута. Увеличение фактической экономической эффективности по отношению к плановой произошло в результате перевыполнения плана по финансовым поступлениям в местный бюджет от управления муниципальной собственностью и экономии при осуществлении расходов на реализацию муниципальной программы.</w:t>
      </w:r>
    </w:p>
    <w:p w:rsidR="00920C0E" w:rsidRDefault="002D5C75" w:rsidP="004F3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</w:t>
      </w:r>
    </w:p>
    <w:p w:rsidR="002D5C75" w:rsidRPr="00920C0E" w:rsidRDefault="00920C0E" w:rsidP="004F3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D5C75" w:rsidRPr="00920C0E">
        <w:rPr>
          <w:rFonts w:ascii="Times New Roman" w:hAnsi="Times New Roman" w:cs="Times New Roman"/>
          <w:b/>
          <w:sz w:val="24"/>
          <w:szCs w:val="24"/>
        </w:rPr>
        <w:t xml:space="preserve">«Развитие образования </w:t>
      </w:r>
      <w:proofErr w:type="spellStart"/>
      <w:r w:rsidR="00040FE0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2D5C75" w:rsidRPr="00920C0E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886BBF" w:rsidRPr="00920C0E">
        <w:rPr>
          <w:rFonts w:ascii="Times New Roman" w:hAnsi="Times New Roman" w:cs="Times New Roman"/>
          <w:b/>
          <w:sz w:val="24"/>
          <w:szCs w:val="24"/>
        </w:rPr>
        <w:t>униципально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го</w:t>
      </w:r>
      <w:r w:rsidR="00886BBF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а</w:t>
      </w:r>
      <w:r w:rsidR="00887D47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области». </w:t>
      </w:r>
      <w:r w:rsidR="002D5C75" w:rsidRPr="00920C0E">
        <w:rPr>
          <w:rFonts w:ascii="Times New Roman" w:hAnsi="Times New Roman" w:cs="Times New Roman"/>
          <w:sz w:val="24"/>
          <w:szCs w:val="24"/>
        </w:rPr>
        <w:t xml:space="preserve">Ресурсное обеспечение по </w:t>
      </w:r>
      <w:r w:rsidR="00887D47" w:rsidRPr="00920C0E">
        <w:rPr>
          <w:rFonts w:ascii="Times New Roman" w:hAnsi="Times New Roman" w:cs="Times New Roman"/>
          <w:sz w:val="24"/>
          <w:szCs w:val="24"/>
        </w:rPr>
        <w:t xml:space="preserve">этой </w:t>
      </w:r>
      <w:r w:rsidR="00D92B4E" w:rsidRPr="00920C0E">
        <w:rPr>
          <w:rFonts w:ascii="Times New Roman" w:hAnsi="Times New Roman" w:cs="Times New Roman"/>
          <w:sz w:val="24"/>
          <w:szCs w:val="24"/>
        </w:rPr>
        <w:t>программе исполнены на 97,2</w:t>
      </w:r>
      <w:r w:rsidR="002D5C75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</w:t>
      </w:r>
      <w:r w:rsidR="00886BBF" w:rsidRPr="00920C0E">
        <w:rPr>
          <w:rFonts w:ascii="Times New Roman" w:hAnsi="Times New Roman" w:cs="Times New Roman"/>
          <w:sz w:val="24"/>
          <w:szCs w:val="24"/>
        </w:rPr>
        <w:t>%</w:t>
      </w:r>
      <w:r w:rsidR="00D92B4E" w:rsidRPr="00920C0E">
        <w:rPr>
          <w:rFonts w:ascii="Times New Roman" w:hAnsi="Times New Roman" w:cs="Times New Roman"/>
          <w:sz w:val="24"/>
          <w:szCs w:val="24"/>
        </w:rPr>
        <w:t>, исполнение по индикаторам 105,7</w:t>
      </w:r>
      <w:r w:rsidR="002D5C75" w:rsidRPr="00920C0E">
        <w:rPr>
          <w:rFonts w:ascii="Times New Roman" w:hAnsi="Times New Roman" w:cs="Times New Roman"/>
          <w:sz w:val="24"/>
          <w:szCs w:val="24"/>
        </w:rPr>
        <w:t>%. Оценка степени эффективности</w:t>
      </w:r>
      <w:r w:rsidR="00887D47" w:rsidRPr="00920C0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D92B4E" w:rsidRPr="00920C0E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="002D5C75" w:rsidRPr="00920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Система образования </w:t>
      </w:r>
      <w:proofErr w:type="spellStart"/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Пильнинского</w:t>
      </w:r>
      <w:proofErr w:type="spellEnd"/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на 31.12.2025 года </w:t>
      </w: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представлена 11 школами, 9 детскими садами, 6 дошкольными группами при школах, 2 учреждениями дополнительного образования, государственным образовательным учреждением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Пильнинским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технологическим колледжем.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lastRenderedPageBreak/>
        <w:t xml:space="preserve">Система дошкольного образования на 1 января 2026 года – это 9 дошкольных образовательных учреждений и 4 школы (6 групп), реализующих программы дошкольного образования.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Все учреждения имеют лицензии на право осуществления образовательной деятельности по реализуемым образовательным программам дошкольного образования.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Вопросы, связанные с созданием надлежащих условий пребывания в дошкольных организациях, которые способствуют сохранению и укреплению здоровья воспитанников являются одним из приоритетных направлений работы администраций образовательных организаций и находятся на постоянном контроле управления образования. Во всех образовательных организациях, реализующих программу дошкольного образования, созданы условия, соответствующие противопожарным, санитарным и техническим нормам и правилам, возрастным особенностям дошкольников.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В 2025 году в рамках государственной программы «Капитальный ремонт образовательных организаций Нижегородской области, реализующих общеобразовательные программы на 2025г» в МБДОУ </w:t>
      </w:r>
      <w:proofErr w:type="spellStart"/>
      <w:r w:rsidRPr="00920C0E">
        <w:rPr>
          <w:color w:val="000000" w:themeColor="text1"/>
        </w:rPr>
        <w:t>Деяновский</w:t>
      </w:r>
      <w:proofErr w:type="spellEnd"/>
      <w:r w:rsidRPr="00920C0E">
        <w:rPr>
          <w:color w:val="000000" w:themeColor="text1"/>
        </w:rPr>
        <w:t xml:space="preserve"> детский сад были выполнены работы по капитальному ремонту кровли.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В рамках плана мероприятий по антитеррористической защищенности проведены следующие мероприятия: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 в 2 дошкольных группах МОУ </w:t>
      </w:r>
      <w:proofErr w:type="spellStart"/>
      <w:r w:rsidRPr="00920C0E">
        <w:rPr>
          <w:color w:val="000000" w:themeColor="text1"/>
        </w:rPr>
        <w:t>Курмышская</w:t>
      </w:r>
      <w:proofErr w:type="spellEnd"/>
      <w:r w:rsidRPr="00920C0E">
        <w:rPr>
          <w:color w:val="000000" w:themeColor="text1"/>
        </w:rPr>
        <w:t xml:space="preserve"> СШ и МОУ </w:t>
      </w:r>
      <w:proofErr w:type="spellStart"/>
      <w:r w:rsidRPr="00920C0E">
        <w:rPr>
          <w:color w:val="000000" w:themeColor="text1"/>
        </w:rPr>
        <w:t>Столбищенская</w:t>
      </w:r>
      <w:proofErr w:type="spellEnd"/>
      <w:r w:rsidRPr="00920C0E">
        <w:rPr>
          <w:color w:val="000000" w:themeColor="text1"/>
        </w:rPr>
        <w:t xml:space="preserve"> СШ  установлено речевое оповещение и эвакуация людей;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установка ограждения по периметру здания - МБДОУ </w:t>
      </w:r>
      <w:proofErr w:type="spellStart"/>
      <w:r w:rsidRPr="00920C0E">
        <w:rPr>
          <w:color w:val="000000" w:themeColor="text1"/>
        </w:rPr>
        <w:t>Тенекаевский</w:t>
      </w:r>
      <w:proofErr w:type="spellEnd"/>
      <w:r w:rsidRPr="00920C0E">
        <w:rPr>
          <w:color w:val="000000" w:themeColor="text1"/>
        </w:rPr>
        <w:t xml:space="preserve"> детский сад;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 обновлено видеонаблюдение (дошкольная группа МОУ </w:t>
      </w:r>
      <w:proofErr w:type="spellStart"/>
      <w:r w:rsidRPr="00920C0E">
        <w:rPr>
          <w:color w:val="000000" w:themeColor="text1"/>
        </w:rPr>
        <w:t>Бортсурманская</w:t>
      </w:r>
      <w:proofErr w:type="spellEnd"/>
      <w:r w:rsidRPr="00920C0E">
        <w:rPr>
          <w:color w:val="000000" w:themeColor="text1"/>
        </w:rPr>
        <w:t xml:space="preserve">  СШ, дошкольная группа МОУ </w:t>
      </w:r>
      <w:proofErr w:type="spellStart"/>
      <w:r w:rsidRPr="00920C0E">
        <w:rPr>
          <w:color w:val="000000" w:themeColor="text1"/>
        </w:rPr>
        <w:t>Курмышская</w:t>
      </w:r>
      <w:proofErr w:type="spellEnd"/>
      <w:r w:rsidRPr="00920C0E">
        <w:rPr>
          <w:color w:val="000000" w:themeColor="text1"/>
        </w:rPr>
        <w:t xml:space="preserve"> СШ);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За счет средств местного бюджета: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произведен текущий ремонт канализации в МБДОУ </w:t>
      </w:r>
      <w:proofErr w:type="spellStart"/>
      <w:r w:rsidRPr="00920C0E">
        <w:rPr>
          <w:color w:val="000000" w:themeColor="text1"/>
        </w:rPr>
        <w:t>Петряксинский</w:t>
      </w:r>
      <w:proofErr w:type="spellEnd"/>
      <w:r w:rsidRPr="00920C0E">
        <w:rPr>
          <w:color w:val="000000" w:themeColor="text1"/>
        </w:rPr>
        <w:t xml:space="preserve"> д/с;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- текущий ремонт актового зала в МБДОУ Красногорский д/с;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произведен текущий ремонт пищеблока в МБОУ </w:t>
      </w:r>
      <w:proofErr w:type="spellStart"/>
      <w:r w:rsidRPr="00920C0E">
        <w:rPr>
          <w:color w:val="000000" w:themeColor="text1"/>
        </w:rPr>
        <w:t>Пильнинская</w:t>
      </w:r>
      <w:proofErr w:type="spellEnd"/>
      <w:r w:rsidRPr="00920C0E">
        <w:rPr>
          <w:color w:val="000000" w:themeColor="text1"/>
        </w:rPr>
        <w:t xml:space="preserve"> СШ № 2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произведена замена котлов  в МБДОУ </w:t>
      </w:r>
      <w:proofErr w:type="spellStart"/>
      <w:r w:rsidRPr="00920C0E">
        <w:rPr>
          <w:color w:val="000000" w:themeColor="text1"/>
        </w:rPr>
        <w:t>Пильнинский</w:t>
      </w:r>
      <w:proofErr w:type="spellEnd"/>
      <w:r w:rsidRPr="00920C0E">
        <w:rPr>
          <w:color w:val="000000" w:themeColor="text1"/>
        </w:rPr>
        <w:t xml:space="preserve"> </w:t>
      </w:r>
      <w:proofErr w:type="spellStart"/>
      <w:r w:rsidRPr="00920C0E">
        <w:rPr>
          <w:color w:val="000000" w:themeColor="text1"/>
        </w:rPr>
        <w:t>дс</w:t>
      </w:r>
      <w:proofErr w:type="spellEnd"/>
      <w:r w:rsidRPr="00920C0E">
        <w:rPr>
          <w:color w:val="000000" w:themeColor="text1"/>
        </w:rPr>
        <w:t xml:space="preserve"> №2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- произведена замена оконных блоков в МБДОУ </w:t>
      </w:r>
      <w:proofErr w:type="spellStart"/>
      <w:r w:rsidRPr="00920C0E">
        <w:rPr>
          <w:color w:val="000000" w:themeColor="text1"/>
        </w:rPr>
        <w:t>Деяновский</w:t>
      </w:r>
      <w:proofErr w:type="spellEnd"/>
      <w:r w:rsidRPr="00920C0E">
        <w:rPr>
          <w:color w:val="000000" w:themeColor="text1"/>
        </w:rPr>
        <w:t xml:space="preserve"> д/с;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полностью заменена АПС в МБДОУ </w:t>
      </w:r>
      <w:proofErr w:type="spellStart"/>
      <w:r w:rsidRPr="00920C0E">
        <w:rPr>
          <w:color w:val="000000" w:themeColor="text1"/>
        </w:rPr>
        <w:t>Медянский</w:t>
      </w:r>
      <w:proofErr w:type="spellEnd"/>
      <w:r w:rsidRPr="00920C0E">
        <w:rPr>
          <w:color w:val="000000" w:themeColor="text1"/>
        </w:rPr>
        <w:t xml:space="preserve"> д/с и МБДОУ Пильнинский д/с № 3.</w:t>
      </w:r>
    </w:p>
    <w:p w:rsidR="00D92B4E" w:rsidRPr="00920C0E" w:rsidRDefault="00D92B4E" w:rsidP="00D92B4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Общая численность контингента дошкольников в образовательных организациях, реализующих программы дошкольного образования, в округе</w:t>
      </w:r>
      <w:r w:rsidRPr="00920C0E">
        <w:rPr>
          <w:rFonts w:ascii="Times New Roman" w:eastAsia="Times New Roman" w:hAnsi="Times New Roman"/>
          <w:color w:val="000000" w:themeColor="text1"/>
        </w:rPr>
        <w:t xml:space="preserve">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на 1 января 2026 года составила 473 человека. К сожалению, наблюдается тенденция уменьшения количества детей дошкольного возраста.</w:t>
      </w:r>
    </w:p>
    <w:p w:rsidR="00D92B4E" w:rsidRPr="00920C0E" w:rsidRDefault="00D92B4E" w:rsidP="00D92B4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Процент о</w:t>
      </w:r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хвата дошкольным образованием детей от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 года до 7 лет в 2025 году составил 90 %, что немного выше по сравнению с 2024 годом (89,5%) В дальнейшем планируется сохранить данный уровень этого показателя.</w:t>
      </w:r>
    </w:p>
    <w:p w:rsidR="00D92B4E" w:rsidRPr="00920C0E" w:rsidRDefault="00D92B4E" w:rsidP="00D92B4E">
      <w:pPr>
        <w:spacing w:line="240" w:lineRule="auto"/>
        <w:ind w:lef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Актуальный спрос для поступления детей в детские сады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округа отсутствует. Принять детей в дошкольные учреждения района есть возможность на желаемую дату, определенную родителями (законными представителями) в заявлении. Потребности в увеличении мест в дошкольных образовательных организациях нет.</w:t>
      </w:r>
    </w:p>
    <w:p w:rsidR="00D92B4E" w:rsidRPr="00920C0E" w:rsidRDefault="00D92B4E" w:rsidP="00D92B4E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</w:t>
      </w:r>
    </w:p>
    <w:p w:rsidR="00D92B4E" w:rsidRPr="00920C0E" w:rsidRDefault="00D92B4E" w:rsidP="00D92B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системе дошкольного образования трудятся 78 педагогических работников, которые все прошли курсы по вопросу внедрения ФГОС ДО, ФОП ДО.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 МБДОУ Красногорский детский сад функционирует инновационная площадка НИРО по теме «Разработка и апробация дополнительной образовательной программы (общеразвивающей) духовно – нравственного воспитания детей 5-7 лет  «Наполним сердца добротой».</w:t>
      </w:r>
    </w:p>
    <w:p w:rsidR="00D92B4E" w:rsidRPr="00920C0E" w:rsidRDefault="00D92B4E" w:rsidP="00D92B4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2025 году в дошкольных образовательных учреждениях района получали услуги 7 детей- инвалидов. С целью коррекции имеющихся речевых нарушений у детей дошкольного возраста на базе МБДОУ Пильнинский детский сад No3 «Буратино» работают учителя – логопеды и там же работает консультационный пункт для родителей. Все дошкольные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учреждения работают по образовательным программа в соответствии ФГОС ДО, ФОП ДО. Главные критерии реализации образовательной программы - социализация и индивидуальное развитие ребенка. </w:t>
      </w:r>
    </w:p>
    <w:p w:rsidR="00D92B4E" w:rsidRPr="00920C0E" w:rsidRDefault="00D92B4E" w:rsidP="00D92B4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Для обеспечения учебно-воспитательного процесса дошкольные учреждения располагают достаточным перечнем методической, детской литературы, дидактических материалов и пособий, частично используются компьютерные технологии. Предметно - развивающая среда в группах обновляется и пополняется. Созданы условия для развития игровой деятельности, организации двигательной активности. Учитываются возрастные и гендерные особенности детей.</w:t>
      </w:r>
    </w:p>
    <w:p w:rsidR="00D92B4E" w:rsidRPr="00920C0E" w:rsidRDefault="00D92B4E" w:rsidP="00D92B4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Пильнинском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муниципальном округе Нижегородской области с 1 сентября 2025 года функционирует 11 общеобразовательных школ. (МОУ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Андосовская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 реорганизована путем присоединения к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с прекращением деятельности МОУ Мало –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Андосовская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 и переходом всех прав и обязанностей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  МОУ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СШ).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Одной из важных и приоритетных задач муниципальной системы образования является сохранность и приведение существующих зданий образовательных организаций в соответствие с современными требованиями: безопасность - пожарная,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санэпидемиологическая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антитеррористическая защищенность, комфортные и благоприятные условия для осуществления трудовой и учебной деятельности. Ежегодно осуществляется участие в государственных программах и проектах: Национальный проект «Образование», ГП «Капитальный ремонт образовательных организаций Нижегородской области», ГП Безопасность, Создание мест для занятий физической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культурй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спортом в сельской местности,  Школьная столовая,  Муниципальная программа «Доступная среда».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bookmarkStart w:id="2" w:name="undefined"/>
      <w:r w:rsidRPr="00920C0E">
        <w:rPr>
          <w:color w:val="000000" w:themeColor="text1"/>
        </w:rPr>
        <w:t>Ежегодно проводится масштабная работа по подготовке ОО к новому учебному году.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2025 году рамках плана мероприятий по антитеррористической защищенности проведены следующие мероприятия: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  в 2 дошкольных группах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 установлено речевое оповещение и эвакуация людей. 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установка ограждения по периметру здания (частичная замена  ограждения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Озерская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ОШ);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  обновлено видеонаблюдение – 3 объектов (дошкольная группа МОУ </w:t>
      </w:r>
      <w:proofErr w:type="spellStart"/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  СШ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дошкольная группа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Медянская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);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оборудование поста охраны на 1 этаже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Можаров-МАйданской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- установка системы освещения в ПСШ №2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установка въездов на объект воротами, обеспечивающими жесткую фиксацию их створок в закрытом положении – 2 объекта (МОУ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Красногорская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МАУ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«Содружество»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рамках муниципальной программы «Доступная среда» в 2025 году сделан ремонт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 и закуплено соответствующее оборудование.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 счет средств местного бюджета: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 текущий ремонт канализации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текущий ремонт музейной комнаты в 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 текущий ремонт туалетных комнат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 текущий ремонт пищеблока в МБОУ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№ 2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произведена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замена 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замена</w:t>
      </w:r>
      <w:proofErr w:type="spellEnd"/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дымохода в котельной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ремонт котла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проведена модернизация котельной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частичный ремонт водопровода в здании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Деяновская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произведена замена оконных блоков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Озерская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ОШ;</w:t>
      </w:r>
    </w:p>
    <w:p w:rsidR="00072CD2" w:rsidRPr="00920C0E" w:rsidRDefault="00D92B4E" w:rsidP="00072C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полностью заменена АПС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Озерская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Петряксинская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Деяновская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</w:t>
      </w:r>
    </w:p>
    <w:p w:rsidR="00D92B4E" w:rsidRPr="00920C0E" w:rsidRDefault="00D92B4E" w:rsidP="00072C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ремонт цокольного этажа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Медянская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СШ.</w:t>
      </w:r>
      <w:bookmarkEnd w:id="2"/>
    </w:p>
    <w:p w:rsidR="00D92B4E" w:rsidRPr="00920C0E" w:rsidRDefault="00D92B4E" w:rsidP="00072CD2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lastRenderedPageBreak/>
        <w:t xml:space="preserve"> Одним из направлений ежегодной работы по подготовке школ к новому учебному году является работа по обеспечению учебной литературой. Обеспеченность школьников учебной литературой составила100%.</w:t>
      </w:r>
    </w:p>
    <w:p w:rsidR="00D92B4E" w:rsidRPr="00920C0E" w:rsidRDefault="00D92B4E" w:rsidP="00072CD2">
      <w:pPr>
        <w:pStyle w:val="a9"/>
        <w:ind w:firstLine="709"/>
        <w:jc w:val="both"/>
        <w:rPr>
          <w:color w:val="000000" w:themeColor="text1"/>
        </w:rPr>
      </w:pPr>
    </w:p>
    <w:p w:rsidR="00D92B4E" w:rsidRPr="00920C0E" w:rsidRDefault="00D92B4E" w:rsidP="00072CD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целью организации подвоза учащихся из отдаленных населенных пунктов в базовые школы в 2024-25 учебном году было задействовано 14 единиц школьных автобусов</w:t>
      </w:r>
      <w:r w:rsidRPr="00920C0E">
        <w:rPr>
          <w:rFonts w:ascii="Times New Roman" w:eastAsia="Times New Roman" w:hAnsi="Times New Roman" w:cs="Times New Roman"/>
          <w:color w:val="000000" w:themeColor="text1"/>
        </w:rPr>
        <w:t xml:space="preserve">. Подвозом было охвачено 269 человек. </w:t>
      </w: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 2025 году получен школьный автобус в МАОУ </w:t>
      </w:r>
      <w:proofErr w:type="spell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Пильнинская</w:t>
      </w:r>
      <w:proofErr w:type="spell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СШ «Содружество».</w:t>
      </w:r>
    </w:p>
    <w:p w:rsidR="00D92B4E" w:rsidRPr="00920C0E" w:rsidRDefault="00D92B4E" w:rsidP="00072CD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Одной из важных задач образования в обществе является его доступность для социальных групп детей, имеющих «невыгодные» стартовые условия. Среди них особое место занимают дети с ограниченными возможностями здоровья. В округе постоянно ведется  работа по созданию доступной среды для детей – инвалидов;</w:t>
      </w:r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рамках муниципальной программы «Доступная среда» в 2025 году сделан ремонт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 и закуплено соответствующее оборудование.</w:t>
      </w:r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Важнейшим направлением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здоровьесберегающей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 является обеспечение школьников полноценным, сбалансированным и качественным питанием.   Охват горячим питанием составил–  92% </w:t>
      </w: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обучающихся .</w:t>
      </w:r>
      <w:proofErr w:type="gramEnd"/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качестве образования принято традиционно судить по итогам аттестации выпускников 9-х и 11-х классов.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2025 году по результатам ОГЭ аттестаты об основном общем образования получили 163 девятиклассника, это 99,4 % от общего количества выпускников. В государственной итоговой аттестации по образовательным программам среднего общего образования в форме единого государственного экзамена приняли участие и получили аттестаты 62 выпускника из 5 образовательных организаций. По итогам завершения обучения аттестат особого образца и медаль «За особые успехи в учении»  получили 14 выпускников. На данный момент все они студенты ВУЗов.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Вместе с тем, результаты ГИА показали, что для отдельных учащихся возникает проблема учебной </w:t>
      </w:r>
      <w:proofErr w:type="spell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неуспешности</w:t>
      </w:r>
      <w:proofErr w:type="spell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которая проявляется в демонстрации невысоких, а подчас низких результатов при прохождении внешних оценочных процедур. Выстраивается система индивидуальной работы как на организационном, так и </w:t>
      </w:r>
      <w:proofErr w:type="gram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содержательном  уровне</w:t>
      </w:r>
      <w:proofErr w:type="gram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результатом которой должно стать снижение доли неуспевающих обучающихся.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школах  округа проводится систематическая и целенаправленная работа по развитию творческих и познавательных способностей учащихся.  Достигнуты определенные результаты по работе с одаренными детьми. Накоплен позитивный опыт проведения мероприятий, способствующих выявлению и поддержке одаренных детей: муниципальные олимпиады, интеллектуальные и (или) творческие конкурсы, фестивали, смотры, конференции, физкультурные и спортивные мероприятия, стипендии.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итогам муниципального этапа Всероссийской олимпиады школьников в 2025 году 16 обучающихся из 6 школ округа по 8 предметам приняли участие в региональном этапе в Нижнем Новгороде. Из них 2 участника заняли призовые места по праву.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Ежегодно достойно представляют наш район, занимая призовые места, обучающиеся </w:t>
      </w:r>
      <w:proofErr w:type="spell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Красногорской</w:t>
      </w:r>
      <w:proofErr w:type="spell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СШ  на</w:t>
      </w:r>
      <w:proofErr w:type="gram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Международной и Межрегиональной олимпиадах по татарскому языку и литературе в Татарстане.  </w:t>
      </w:r>
    </w:p>
    <w:p w:rsidR="00D92B4E" w:rsidRPr="00920C0E" w:rsidRDefault="00D92B4E" w:rsidP="00D92B4E">
      <w:pPr>
        <w:spacing w:after="0" w:line="240" w:lineRule="auto"/>
        <w:ind w:firstLine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районе действует научное общество учащихся (НОУ). Здесь ребята делают первые шаги в науку - получают практические навыки исследовательской деятельности, развивают интеллектуальные и творческие способности</w:t>
      </w:r>
      <w:r w:rsidRPr="00920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92B4E" w:rsidRPr="00920C0E" w:rsidRDefault="00D92B4E" w:rsidP="00D92B4E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лиц, проявляющих выдающиеся способности, развитию социальной активности ученика способствует ежегодные районные конкурсы  «Ученик года», «Шаги к успеху».</w:t>
      </w:r>
    </w:p>
    <w:p w:rsidR="00D92B4E" w:rsidRPr="00920C0E" w:rsidRDefault="00D92B4E" w:rsidP="00D92B4E">
      <w:pPr>
        <w:spacing w:after="16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За высокие достижения в учебе 37 человек (обучающиеся 9-11 классов) получали стипендию главы местного самоуправления</w:t>
      </w:r>
      <w:r w:rsidRPr="00920C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</w:p>
    <w:p w:rsidR="00D92B4E" w:rsidRPr="00920C0E" w:rsidRDefault="00D92B4E" w:rsidP="00D92B4E">
      <w:pPr>
        <w:spacing w:after="16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Система дополнительного образования района представлена деятельностью двух учреждений дополнительного образования по ведомству образования – МБУ ДО «Центр детского творчества», МБУ ДО «Детско-юношеский центр», МБУДО Детская школа искусств им. Ляпунова - ведомства культуры, объединениями дополнительного образования </w:t>
      </w: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>школ,  детских</w:t>
      </w:r>
      <w:proofErr w:type="gram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садов и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технологического колледжа.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 рамках реализации   региональной целевой модели дополнительного образования детей </w:t>
      </w: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на  базе</w:t>
      </w:r>
      <w:proofErr w:type="gram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МБУ ДО «Центр детского творчества» создан Муниципальный опорный центр дополнительного образования детей, осуществляющий координацию деятельности муниципальных организаций и реализующих дополнительные общеобразовательные программы, при включении ими данных в региональный навигатор дополнительного образования детей Нижегородской области.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Для каждого кружка, творческого объединения, спортивной секции разработаны и утверждены Программы дополнительного образования следующих направленностей: техническая, эколого-биологическая, туристско-краеведческая, спортивная, художественная, социально-гуманитарная. Наибольшей популярностью пользуются спортивная, художественная  и социально-гуманитарная направленности. Возросло количество </w:t>
      </w:r>
      <w:proofErr w:type="gramStart"/>
      <w:r w:rsidRPr="00920C0E">
        <w:rPr>
          <w:color w:val="000000" w:themeColor="text1"/>
        </w:rPr>
        <w:t>детей</w:t>
      </w:r>
      <w:proofErr w:type="gramEnd"/>
      <w:r w:rsidRPr="00920C0E">
        <w:rPr>
          <w:color w:val="000000" w:themeColor="text1"/>
        </w:rPr>
        <w:t xml:space="preserve"> вовлеченных в объединения естественно-научной и технической направленностей.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Воспитание и дополнительное образование детей осуществляется в рамках мероприятий муниципальных целевых и межведомственных программ, плана реализации Стратегии развития воспитания и Концепции развития дополнительного образования.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Плановый показатель - 81% охвата дополнительным образованием детей от 5 до 18 лет на 31 декабря 2025 года выполнен. Развивается техническая и естественно-научная направленности. Обучающиеся в объединениях «Робототехника» и «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Авиамоделирования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участвуют в зональных и региональных конкурсах и имеют награды победителей и призеров.</w:t>
      </w:r>
    </w:p>
    <w:p w:rsidR="00D92B4E" w:rsidRPr="00920C0E" w:rsidRDefault="00D92B4E" w:rsidP="00D92B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Действует муниципальный опорный центр на базе МБУДО Центр детского творчества. Реализуется проект «Навигатор дополнительного образования». 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18 лет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20C0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характеризует степень внедрения механизма персонифицированного финансирования и доступность дополнительного образования (не менее 30% к 2030 году).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реализации федерального проекта «Успех каждого ребенка» в части создания новых мест дополнительного образования с 2020г. по 2025г. создано 1492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ученико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-мест в 6 образовательных организациях округа. К 2025 году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обновлена  инфраструктура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дополнительного образования  а именно: создано 6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медиацентров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11 школьных театров, 11 школьных музеев, 11 спортивных клубов. </w:t>
      </w:r>
    </w:p>
    <w:p w:rsidR="00D92B4E" w:rsidRPr="00920C0E" w:rsidRDefault="00D92B4E" w:rsidP="00D92B4E">
      <w:pPr>
        <w:spacing w:after="0" w:line="240" w:lineRule="auto"/>
        <w:ind w:firstLine="85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федерального проекта «Билет в будущее», который также включен в нацпроект «Молодежь и дети», активно ведется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работа. В целях ранней профориентации в округе, как и в регионе в целом, развивается сеть профильных предпрофессиональных классов. В 2025/26 учебном году профильные предпрофессиональные классы созданы в 9 школах (8 аграрных,  2 юридических, 2 психолого - педагогических, что составляет 81% от школ округа).  В прошлом году такие классы функционировали в 5 ОО. 88 обучающихся 8-9 классов прошли обучение на базе  Центра опережающей профессиональной подготовки (Н. Новгород) и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Пильнинского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агропромышленного техникума  и   получили первую рабочую профессию во время обучения в школе. Это такие профессии: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оператор  электронно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-вычислительных и вычислительных машин - 38 чел., секретарь-администратор- 13 чел. , младший воспитатель - 4 чел ,  фотограф - 5 чел.,  вожатый -14 чел.,  санитар ветеринарный -7 чел, слесарь-ремонтник  -7 чел.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Одним из показателей результативности воспитательной работы является участие в конкурсном движении, так как это способствует творческому, интеллектуальному росту учащихся и педагогов, стимулирует их к дальнейшей деятельности. С каждым годом число призеров и победителей стабильно растет. 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Сохранена и развивается система детского общественного движения. Действует муниципальное отделение РДДМ. Более 1500 школьников объединились в 11 первичных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отделений Движения первых, из них более 400 обучающихся начальной школы вовлечены в реализацию программы «Орлята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России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».Функционирует</w:t>
      </w:r>
      <w:proofErr w:type="spellEnd"/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11 центров детских инициатив. Вместе с советниками по воспитанию, наставниками ребята принимают участие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 реализации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федеральных концепции государственного проекта «Патриотическое воспитание», проекта «Навигаторы детства».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образовательных организациях действуют 8 военно-патриотических клубов, 6 юнармейских объединений патриотической направленности, 4 объединения юных инспекторов движения (ЮИД),  11 первичных школьных научных объединений учащихся, 11 волонтёрских (добровольческих) отрядов. Продолжается работа по развитию детской службы медиации в каждой школе.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 оказания методической помощи и практической поддержки специалистам, ответственным за педагогическую поддержку семейного воспитания, а также родителям и детям проводятся обучающие семинары, создан муниципальный родительский совет, проводятся  родительские собрания, родительский всеобуч, работает родительский патруль, действуют два совета отцов, организовано участие в зональных семинарах по программе "Университет педагогической культуры", создаются условия для участия в семейных конкурсах, спортивных состязаниях.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целях оказания методической помощи и практической поддержки специалистам, ответственным за педагогическую поддержку семейного воспитания, а также родителям и детям проводятся обучающие семинары, создан муниципальный родительский совет, проводятся  родительские собрания, родительский всеобуч, работает родительский патруль, действуют три семейных клуба, организовано участие в зональных семинарах по программе "Университет педагогической культуры", создаются условия для участия в семейных конкурсах, спортивных состязаниях.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 в округе.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Большое внимание в округе уделяется вопросу организации отдыха, оздоровления и занятости детей. 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2025 выполнен показатель охвата организованными формами отдыха и занятости не менее 90% и показатель оздоровления –не менее 70%. Организован отдых для 166 детей в загородных оздоровительных лагерях (70 обучающихся за счет муниципального бюджета), 140 обучающихся в санаторно-оздоровительных центрах;  632  ребенка в лагерях с дневным пребыванием,  198 обучающихся в лагерях труда и отдыха, 10 обучающихся в палаточном лагере, для 130 обучающихся проведен туристический слет, для 546 подростков и молодежи организована занятость в проекте «дворовой практики», 30 детей  - в прогулочной группе, 85 обучающихся охвачены временной трудовой занятостью.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 Реализация мероприятий подпрограммы «Молодежь </w:t>
      </w:r>
      <w:proofErr w:type="spellStart"/>
      <w:r w:rsidRPr="00920C0E">
        <w:rPr>
          <w:color w:val="000000" w:themeColor="text1"/>
        </w:rPr>
        <w:t>Пильнинского</w:t>
      </w:r>
      <w:proofErr w:type="spellEnd"/>
      <w:r w:rsidRPr="00920C0E">
        <w:rPr>
          <w:color w:val="000000" w:themeColor="text1"/>
        </w:rPr>
        <w:t xml:space="preserve"> округа» демонстрирует стабильное число молодых людей, принимающих участие в общественной жизни поселения. Доля молодых людей, вовлеченных в реализацию мероприятий по направлениям государственной молодежной политики, в общей численности молодежи соответствует запланированным результатам.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  Развитие гражданского общества требует расширение рядов молодежи, участвующей в деятельности общественных организаций и объединений. В современном обществе от молодежи требуется высокая гражданская ответственность, патриотизм и высокая духовно-нравственная позиция. Реализация мероприятий подпрограммы способствует повышению гражданской и патриотической сознательности молодежи. Доля молодых людей, участвующих в деятельности молодежных общественных объединений, в общей численности молодежи достигло запланированных результатов.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Условия для успешной социализации и эффективной самореализации молодежи создаются за счет развития добровольческой (волонтерской) деятельности молодежи. Численность молодых людей, принимающих участие в добровольческой деятельности в районе, в общей численности молодежи достигло запланированных результатов.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Важное значение для обеспечения целей подпрограммы имеет информирование молодежи о проводимых мероприятиях и привлечение молодежи к участию в мероприятиях, проводимых на территории района, для этого планируется увеличение доли информационных </w:t>
      </w:r>
      <w:r w:rsidRPr="00920C0E">
        <w:rPr>
          <w:color w:val="000000" w:themeColor="text1"/>
        </w:rPr>
        <w:lastRenderedPageBreak/>
        <w:t>сообщений о работе с молодежью в СМИ района, в том числе в сети Интернет (группы В Контакте и МАХ).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округе на 31 декабря 2025    года число занимающихся в секциях и группах физкультурно-спортивной направленности, а также самостоятельно занимающихся составило 9366 чел. Таким образом, 57% жителей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занимаются физической культурой и спортом. Аналогичный средний показатель по Нижегородской области составляет 57,8 %,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В общей сложности, на физическую культуру и спорт по линии районного бюджета, внебюджетных средств в 2025 году выделено около 900 тыс. руб., из которых 80 % средств - на проведение и участие в спортивных и физкультурно-массовых мероприятиях, 20 % - на приобретение спортинвентаря.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На 31 декабря 2025 года произошло увеличение на 3% ЕПС спортивных сооружений. В округе функционирует 45 спортсооружений. Пропускная способность спортивных сооружений составляет 1033 чел.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МО функционирует два учреждения дополнительного образования.  В спортивных секциях занимаются 448 человека. Число штатных работников  стабильно и на 31 декабря 2025 года составляло 7 человек.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Также в округе ведется физкультурно-оздоровительная работа на базе образовательных школ во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внеучебное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время.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Согласно статистическим данным спортивными занятиями на постоянной основе занято 92 % школьников округа, из которых 23 % занимаются в ДЮЦ и ЦДТ и школьных спортивных клубах, 71 % - в спортивных секциях при общеобразовательных школах. Число занимающихся в детских спортивных секциях на 1 января 2026 года составляет 1670 человек. 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В целях развития детского спорта ежегодно проводятся: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- Районные соревнования школьников по 22 видам спорта. В соревнованиях ежегодно принимают участие около 1200 учащихся общеобразовательных школ и образовательных учреждений среднего профессионального образования;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- Окружные соревнования: «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Малышиада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», «Лыжня России», «Кросс наций», КЭС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Баскет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, Локо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баскет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>, эстафетный пробег, Спартакиада ОО, Спартакиада МДОУ.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Воспитанники МБУ ДО ДЮЦ принимают участие в областных, республиканских, всероссийских соревнованиях по вольной борьбе, мини-футболу, баскетболу, волейболу, футболу,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армспорту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>, пауэрлифтингу, лыжным гонкам.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     В последнее время в округе появилась положительная тенденция развития физкультурно-массовой работы с населением. 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Ежегодно проводятся легкоатлетические эстафетные пробеги, в которых ежегодно принимают участие около 350 спортсменов, районный туристический слет, спортивные праздники, посвященные Дню России и Дню физкультурника, День молодежи. Проводятся Чемпионаты округа по волейболу среди мужских и женских команд, по футболу и мини-футболу, по хоккею, баскетболу.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В последние годы оживилась физкультурно-массовая работа в сельских поселениях. Увеличились расходы муниципальных бюджетов на отрасль, появились новые формы работы.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Уровень обеспеченности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спортивными залами составляет 65 % от федерального норматива, плоскостными сооружениями – 91%, бассейнами – 0 %. В области аналогичный показатель по спортивным залам составляет 44 %, плоскостным сооружениям – 30,8 %. Следует признать, что большая часть спортивных сооружений, особенно в сельских местности, нуждается в реконструкции. Однако в последние годы число спортивных сооружений в округе обновляется. Огромным плюсом в работе по развитию </w:t>
      </w: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>спорта ,</w:t>
      </w:r>
      <w:proofErr w:type="gram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в том числе ВФСК ГТО, стала установка площадки ГТО с ЕПС 20 чел.</w:t>
      </w:r>
    </w:p>
    <w:p w:rsidR="00FC143A" w:rsidRDefault="00CF0DB0" w:rsidP="004A20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16A6" w:rsidRPr="00920C0E" w:rsidRDefault="00FC143A" w:rsidP="004A20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0DB0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71BA6" w:rsidRPr="00920C0E">
        <w:rPr>
          <w:rFonts w:ascii="Times New Roman" w:hAnsi="Times New Roman"/>
          <w:b/>
          <w:bCs/>
          <w:sz w:val="24"/>
          <w:szCs w:val="24"/>
        </w:rPr>
        <w:t xml:space="preserve">«Информационное общество </w:t>
      </w:r>
      <w:proofErr w:type="spellStart"/>
      <w:r w:rsidR="00571BA6" w:rsidRPr="00920C0E">
        <w:rPr>
          <w:rFonts w:ascii="Times New Roman" w:hAnsi="Times New Roman"/>
          <w:b/>
          <w:bCs/>
          <w:sz w:val="24"/>
          <w:szCs w:val="24"/>
        </w:rPr>
        <w:t>Пильнинского</w:t>
      </w:r>
      <w:proofErr w:type="spellEnd"/>
      <w:r w:rsidR="00571BA6" w:rsidRPr="00920C0E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 Нижегородской области на 2022-202</w:t>
      </w:r>
      <w:r w:rsidR="00EF0AAC" w:rsidRPr="00920C0E">
        <w:rPr>
          <w:rFonts w:ascii="Times New Roman" w:hAnsi="Times New Roman"/>
          <w:b/>
          <w:bCs/>
          <w:sz w:val="24"/>
          <w:szCs w:val="24"/>
        </w:rPr>
        <w:t>8</w:t>
      </w:r>
      <w:r w:rsidR="00571BA6" w:rsidRPr="00920C0E">
        <w:rPr>
          <w:rFonts w:ascii="Times New Roman" w:hAnsi="Times New Roman"/>
          <w:b/>
          <w:bCs/>
          <w:sz w:val="24"/>
          <w:szCs w:val="24"/>
        </w:rPr>
        <w:t xml:space="preserve"> годы»</w:t>
      </w:r>
      <w:r w:rsidR="00571BA6" w:rsidRPr="00920C0E">
        <w:rPr>
          <w:rFonts w:ascii="Times New Roman" w:hAnsi="Times New Roman"/>
          <w:sz w:val="24"/>
          <w:szCs w:val="24"/>
        </w:rPr>
        <w:t xml:space="preserve"> Бюджетн</w:t>
      </w:r>
      <w:r w:rsidR="00EF0AAC" w:rsidRPr="00920C0E">
        <w:rPr>
          <w:rFonts w:ascii="Times New Roman" w:hAnsi="Times New Roman"/>
          <w:sz w:val="24"/>
          <w:szCs w:val="24"/>
        </w:rPr>
        <w:t>ые ассигнования исполнены на 96,6</w:t>
      </w:r>
      <w:r w:rsidR="00571BA6" w:rsidRPr="00920C0E">
        <w:rPr>
          <w:rFonts w:ascii="Times New Roman" w:hAnsi="Times New Roman"/>
          <w:sz w:val="24"/>
          <w:szCs w:val="24"/>
        </w:rPr>
        <w:t xml:space="preserve"> % от плана. Запланированны</w:t>
      </w:r>
      <w:r w:rsidR="00701982" w:rsidRPr="00920C0E">
        <w:rPr>
          <w:rFonts w:ascii="Times New Roman" w:hAnsi="Times New Roman"/>
          <w:sz w:val="24"/>
          <w:szCs w:val="24"/>
        </w:rPr>
        <w:t xml:space="preserve">е </w:t>
      </w:r>
      <w:r w:rsidR="00EF0AAC" w:rsidRPr="00920C0E">
        <w:rPr>
          <w:rFonts w:ascii="Times New Roman" w:hAnsi="Times New Roman"/>
          <w:sz w:val="24"/>
          <w:szCs w:val="24"/>
        </w:rPr>
        <w:t>мероприятия реализованы на 92,8</w:t>
      </w:r>
      <w:r w:rsidR="00571BA6" w:rsidRPr="00920C0E">
        <w:rPr>
          <w:rFonts w:ascii="Times New Roman" w:hAnsi="Times New Roman"/>
          <w:sz w:val="24"/>
          <w:szCs w:val="24"/>
        </w:rPr>
        <w:t>%</w:t>
      </w:r>
      <w:r w:rsidR="00EF0AAC" w:rsidRPr="00920C0E">
        <w:rPr>
          <w:rFonts w:ascii="Times New Roman" w:hAnsi="Times New Roman"/>
          <w:sz w:val="24"/>
          <w:szCs w:val="24"/>
        </w:rPr>
        <w:t>, исполнение по индикаторам 81,4</w:t>
      </w:r>
      <w:r w:rsidR="00571BA6" w:rsidRPr="00920C0E">
        <w:rPr>
          <w:rFonts w:ascii="Times New Roman" w:hAnsi="Times New Roman"/>
          <w:sz w:val="24"/>
          <w:szCs w:val="24"/>
        </w:rPr>
        <w:t>%, что привело к удовлетворительной  степени оценки</w:t>
      </w:r>
      <w:r w:rsidR="00897BF5" w:rsidRPr="00920C0E">
        <w:rPr>
          <w:rFonts w:ascii="Times New Roman" w:hAnsi="Times New Roman"/>
          <w:sz w:val="24"/>
          <w:szCs w:val="24"/>
        </w:rPr>
        <w:t xml:space="preserve"> эффективности программы.</w:t>
      </w:r>
    </w:p>
    <w:p w:rsidR="004A2081" w:rsidRPr="00920C0E" w:rsidRDefault="00897BF5" w:rsidP="004A2081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В рамках реализации программных мероприятий была оказана поддержка в и</w:t>
      </w:r>
      <w:r w:rsidRPr="00920C0E">
        <w:rPr>
          <w:rFonts w:ascii="Times New Roman" w:eastAsia="Courier New" w:hAnsi="Times New Roman"/>
          <w:sz w:val="24"/>
          <w:szCs w:val="24"/>
        </w:rPr>
        <w:t>зготовление и выпуске районной газеты «Сельская Трибуна», а также м</w:t>
      </w:r>
      <w:r w:rsidRPr="00920C0E">
        <w:rPr>
          <w:rFonts w:ascii="Times New Roman" w:eastAsia="Arial" w:hAnsi="Times New Roman"/>
          <w:sz w:val="24"/>
          <w:szCs w:val="24"/>
        </w:rPr>
        <w:t>одернизации и поддержании функционирования материально-технической базы районной газеты «Сельская Трибуна».</w:t>
      </w:r>
    </w:p>
    <w:p w:rsidR="00897BF5" w:rsidRPr="00920C0E" w:rsidRDefault="00897BF5" w:rsidP="004A2081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920C0E">
        <w:rPr>
          <w:rFonts w:ascii="Times New Roman" w:eastAsia="Courier New" w:hAnsi="Times New Roman"/>
          <w:sz w:val="24"/>
          <w:szCs w:val="24"/>
        </w:rPr>
        <w:lastRenderedPageBreak/>
        <w:t>Кроме того, в рамках муниципальной программы были проведены мероприятия по о</w:t>
      </w:r>
      <w:r w:rsidRPr="00920C0E">
        <w:rPr>
          <w:rFonts w:ascii="Times New Roman" w:eastAsia="Arial" w:hAnsi="Times New Roman"/>
          <w:sz w:val="24"/>
          <w:szCs w:val="24"/>
        </w:rPr>
        <w:t xml:space="preserve">беспечению эффективного межведомственного взаимодействия; формированию и адаптации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 созданию условий, обеспечивающих развитие архивного дела, повышение безопасности и сохранности архивных фондов </w:t>
      </w:r>
      <w:proofErr w:type="spellStart"/>
      <w:r w:rsidRPr="00920C0E">
        <w:rPr>
          <w:rFonts w:ascii="Times New Roman" w:eastAsia="Arial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eastAsia="Arial" w:hAnsi="Times New Roman"/>
          <w:sz w:val="24"/>
          <w:szCs w:val="24"/>
        </w:rPr>
        <w:t xml:space="preserve"> муниципального округа, укрепление и модернизация материально-технической базы архива; поддержке функционирования существующих информационных систем и ресурсов, предназначенных для решения задач муниципального управления, а также обеспечению организационной, научно-методической и информационной поддержки реализации настоящей муниципальной программы.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143A" w:rsidRDefault="00897BF5" w:rsidP="004A2081">
      <w:pPr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97BF5" w:rsidRPr="00920C0E" w:rsidRDefault="00FC143A" w:rsidP="004A2081">
      <w:pPr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«Профилактика преступлений и иных правонарушений в </w:t>
      </w:r>
      <w:proofErr w:type="spellStart"/>
      <w:r w:rsidR="00897BF5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округе</w:t>
      </w:r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 Ниже</w:t>
      </w:r>
      <w:r w:rsidR="00124263" w:rsidRPr="00920C0E">
        <w:rPr>
          <w:rFonts w:ascii="Times New Roman" w:hAnsi="Times New Roman" w:cs="Times New Roman"/>
          <w:b/>
          <w:sz w:val="24"/>
          <w:szCs w:val="24"/>
        </w:rPr>
        <w:t>городской области на 2016 - 2027</w:t>
      </w:r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897BF5"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</w:t>
      </w:r>
      <w:r w:rsidR="00DA51E7" w:rsidRPr="00920C0E">
        <w:rPr>
          <w:rFonts w:ascii="Times New Roman" w:hAnsi="Times New Roman" w:cs="Times New Roman"/>
          <w:sz w:val="24"/>
          <w:szCs w:val="24"/>
        </w:rPr>
        <w:t xml:space="preserve"> этой программе исполнены на </w:t>
      </w:r>
      <w:r w:rsidR="006F3F38" w:rsidRPr="008179D6">
        <w:rPr>
          <w:rFonts w:ascii="Times New Roman" w:hAnsi="Times New Roman" w:cs="Times New Roman"/>
          <w:sz w:val="24"/>
          <w:szCs w:val="24"/>
        </w:rPr>
        <w:t>99</w:t>
      </w:r>
      <w:r w:rsidR="008179D6" w:rsidRPr="008179D6">
        <w:rPr>
          <w:rFonts w:ascii="Times New Roman" w:hAnsi="Times New Roman" w:cs="Times New Roman"/>
          <w:sz w:val="24"/>
          <w:szCs w:val="24"/>
        </w:rPr>
        <w:t>,9</w:t>
      </w:r>
      <w:bookmarkStart w:id="3" w:name="_GoBack"/>
      <w:bookmarkEnd w:id="3"/>
      <w:r w:rsidR="006F3F38">
        <w:rPr>
          <w:rFonts w:ascii="Times New Roman" w:hAnsi="Times New Roman" w:cs="Times New Roman"/>
          <w:sz w:val="24"/>
          <w:szCs w:val="24"/>
        </w:rPr>
        <w:t xml:space="preserve"> </w:t>
      </w:r>
      <w:r w:rsidR="00897BF5" w:rsidRPr="00920C0E">
        <w:rPr>
          <w:rFonts w:ascii="Times New Roman" w:hAnsi="Times New Roman" w:cs="Times New Roman"/>
          <w:sz w:val="24"/>
          <w:szCs w:val="24"/>
        </w:rPr>
        <w:t>% от плана. Запланированн</w:t>
      </w:r>
      <w:r w:rsidR="009F3627" w:rsidRPr="00920C0E">
        <w:rPr>
          <w:rFonts w:ascii="Times New Roman" w:hAnsi="Times New Roman" w:cs="Times New Roman"/>
          <w:sz w:val="24"/>
          <w:szCs w:val="24"/>
        </w:rPr>
        <w:t>ые</w:t>
      </w:r>
      <w:r w:rsidR="00124263" w:rsidRPr="00920C0E">
        <w:rPr>
          <w:rFonts w:ascii="Times New Roman" w:hAnsi="Times New Roman" w:cs="Times New Roman"/>
          <w:sz w:val="24"/>
          <w:szCs w:val="24"/>
        </w:rPr>
        <w:t xml:space="preserve"> мероприятия реализованы на 87,1</w:t>
      </w:r>
      <w:r w:rsidR="009F3627" w:rsidRPr="00920C0E">
        <w:rPr>
          <w:rFonts w:ascii="Times New Roman" w:hAnsi="Times New Roman" w:cs="Times New Roman"/>
          <w:sz w:val="24"/>
          <w:szCs w:val="24"/>
        </w:rPr>
        <w:t xml:space="preserve">% Исполнение </w:t>
      </w:r>
      <w:r w:rsidR="00124263" w:rsidRPr="00920C0E">
        <w:rPr>
          <w:rFonts w:ascii="Times New Roman" w:hAnsi="Times New Roman" w:cs="Times New Roman"/>
          <w:sz w:val="24"/>
          <w:szCs w:val="24"/>
        </w:rPr>
        <w:t>по индикаторам 149,5</w:t>
      </w:r>
      <w:r w:rsidR="00897BF5" w:rsidRPr="00920C0E">
        <w:rPr>
          <w:rFonts w:ascii="Times New Roman" w:hAnsi="Times New Roman" w:cs="Times New Roman"/>
          <w:sz w:val="24"/>
          <w:szCs w:val="24"/>
        </w:rPr>
        <w:t xml:space="preserve">%,  что привело к </w:t>
      </w:r>
      <w:r w:rsidR="00DA51E7" w:rsidRPr="00920C0E">
        <w:rPr>
          <w:rFonts w:ascii="Times New Roman" w:hAnsi="Times New Roman" w:cs="Times New Roman"/>
          <w:sz w:val="24"/>
          <w:szCs w:val="24"/>
        </w:rPr>
        <w:t>высокой оценке степени эффективности.</w:t>
      </w:r>
    </w:p>
    <w:p w:rsidR="00897BF5" w:rsidRPr="00920C0E" w:rsidRDefault="00897BF5" w:rsidP="00897BF5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20C0E">
        <w:rPr>
          <w:rFonts w:ascii="Times New Roman" w:hAnsi="Times New Roman" w:cs="Times New Roman"/>
          <w:sz w:val="24"/>
          <w:szCs w:val="24"/>
        </w:rPr>
        <w:t xml:space="preserve">рамках реализации программных мероприятий была оказана поддержка в трудоустройстве </w:t>
      </w:r>
      <w:r w:rsidRPr="00920C0E">
        <w:rPr>
          <w:rFonts w:ascii="Times New Roman" w:eastAsia="Courier New" w:hAnsi="Times New Roman" w:cs="Times New Roman"/>
          <w:sz w:val="24"/>
          <w:szCs w:val="24"/>
        </w:rPr>
        <w:t xml:space="preserve">безработных граждан в рамках содействия занятости населения </w:t>
      </w:r>
      <w:proofErr w:type="spellStart"/>
      <w:r w:rsidRPr="00920C0E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</w:t>
      </w:r>
      <w:r w:rsidR="009F3627" w:rsidRPr="00920C0E">
        <w:rPr>
          <w:rFonts w:ascii="Times New Roman" w:eastAsia="Courier New" w:hAnsi="Times New Roman" w:cs="Times New Roman"/>
          <w:sz w:val="24"/>
          <w:szCs w:val="24"/>
        </w:rPr>
        <w:t>округа</w:t>
      </w:r>
      <w:r w:rsidRPr="00920C0E">
        <w:rPr>
          <w:rFonts w:ascii="Times New Roman" w:eastAsia="Courier New" w:hAnsi="Times New Roman" w:cs="Times New Roman"/>
          <w:sz w:val="24"/>
          <w:szCs w:val="24"/>
        </w:rPr>
        <w:t>, однако запланированное программой мероприятие «организация оплачиваемых общественных работ для подростков в летний период, временное трудоустройство подростков от 14 до 18 лет, находящихся в социально опасном положении» не могло быть реализовано ввиду сезонного характера и вышеуказанных причин.</w:t>
      </w:r>
    </w:p>
    <w:p w:rsidR="00897BF5" w:rsidRPr="00920C0E" w:rsidRDefault="00897BF5" w:rsidP="00897BF5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0C0E">
        <w:rPr>
          <w:rFonts w:ascii="Times New Roman" w:eastAsia="Courier New" w:hAnsi="Times New Roman" w:cs="Times New Roman"/>
          <w:sz w:val="24"/>
          <w:szCs w:val="24"/>
        </w:rPr>
        <w:t xml:space="preserve">Кроме того, были проведены ежеквартальные заседаний муниципальной межведомственной комиссии по профилактике правонарушений (МВКПП) на которых была осуществлена координация мероприятий, направленных на профилактику правонарушений и координация их исполнения. Был разработан ряд мероприятий, направленных на профилактику правонарушений и асоциального поведения лиц, включен в протоколы комиссии и в последствии реализован. </w:t>
      </w:r>
    </w:p>
    <w:p w:rsidR="00FC143A" w:rsidRDefault="00FC143A" w:rsidP="00B807DD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7DD" w:rsidRPr="00920C0E" w:rsidRDefault="00B807DD" w:rsidP="00B807DD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экстремизма на территории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>жегородской области на 2019-202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6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Pr="00920C0E">
        <w:rPr>
          <w:rFonts w:ascii="Times New Roman" w:hAnsi="Times New Roman" w:cs="Times New Roman"/>
          <w:sz w:val="24"/>
          <w:szCs w:val="24"/>
        </w:rPr>
        <w:t xml:space="preserve">Ресурсное обеспечение по </w:t>
      </w:r>
      <w:r w:rsidR="00A7703B" w:rsidRPr="00920C0E">
        <w:rPr>
          <w:rFonts w:ascii="Times New Roman" w:hAnsi="Times New Roman" w:cs="Times New Roman"/>
          <w:sz w:val="24"/>
          <w:szCs w:val="24"/>
        </w:rPr>
        <w:t xml:space="preserve">этой программе исполнены на </w:t>
      </w:r>
      <w:r w:rsidR="004C5C16" w:rsidRPr="00920C0E">
        <w:rPr>
          <w:rFonts w:ascii="Times New Roman" w:hAnsi="Times New Roman" w:cs="Times New Roman"/>
          <w:sz w:val="24"/>
          <w:szCs w:val="24"/>
        </w:rPr>
        <w:t>99,9</w:t>
      </w:r>
      <w:r w:rsidRPr="00920C0E">
        <w:rPr>
          <w:rFonts w:ascii="Times New Roman" w:hAnsi="Times New Roman" w:cs="Times New Roman"/>
          <w:sz w:val="24"/>
          <w:szCs w:val="24"/>
        </w:rPr>
        <w:t>% от плана. Исполнени</w:t>
      </w:r>
      <w:r w:rsidR="002B603D" w:rsidRPr="00920C0E">
        <w:rPr>
          <w:rFonts w:ascii="Times New Roman" w:hAnsi="Times New Roman" w:cs="Times New Roman"/>
          <w:sz w:val="24"/>
          <w:szCs w:val="24"/>
        </w:rPr>
        <w:t>е по индикаторам составило 100</w:t>
      </w:r>
      <w:r w:rsidRPr="00920C0E">
        <w:rPr>
          <w:rFonts w:ascii="Times New Roman" w:hAnsi="Times New Roman" w:cs="Times New Roman"/>
          <w:sz w:val="24"/>
          <w:szCs w:val="24"/>
        </w:rPr>
        <w:t xml:space="preserve">%. Запланированные мероприятия реализованы на </w:t>
      </w:r>
      <w:r w:rsidR="002B603D" w:rsidRPr="00920C0E">
        <w:rPr>
          <w:rFonts w:ascii="Times New Roman" w:hAnsi="Times New Roman" w:cs="Times New Roman"/>
          <w:sz w:val="24"/>
          <w:szCs w:val="24"/>
        </w:rPr>
        <w:t>100</w:t>
      </w:r>
      <w:r w:rsidRPr="00920C0E">
        <w:rPr>
          <w:rFonts w:ascii="Times New Roman" w:hAnsi="Times New Roman" w:cs="Times New Roman"/>
          <w:sz w:val="24"/>
          <w:szCs w:val="24"/>
        </w:rPr>
        <w:t xml:space="preserve">% Оценка степени эффективности данной программы </w:t>
      </w:r>
      <w:r w:rsidR="004C5C16" w:rsidRPr="00920C0E">
        <w:rPr>
          <w:rFonts w:ascii="Times New Roman" w:hAnsi="Times New Roman" w:cs="Times New Roman"/>
          <w:sz w:val="24"/>
          <w:szCs w:val="24"/>
        </w:rPr>
        <w:t>высокая</w:t>
      </w:r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A7703B" w:rsidRPr="00920C0E" w:rsidRDefault="00A7703B" w:rsidP="00A7703B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За 202</w:t>
      </w:r>
      <w:r w:rsidR="004C5C16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 год в рамках муниципальной программы «Профилактика терроризма и экстремизма на территории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на 2019-2026 годы» организациями, учреждениями и предприятиями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было затрачено </w:t>
      </w:r>
      <w:r w:rsidR="004C5C16" w:rsidRPr="00920C0E">
        <w:rPr>
          <w:rFonts w:ascii="Times New Roman" w:eastAsia="Calibri" w:hAnsi="Times New Roman"/>
          <w:sz w:val="24"/>
          <w:szCs w:val="24"/>
        </w:rPr>
        <w:t>10323,9 тыс.</w:t>
      </w:r>
      <w:r w:rsidR="0078670A" w:rsidRPr="00920C0E">
        <w:rPr>
          <w:rFonts w:ascii="Times New Roman" w:eastAsia="Calibri" w:hAnsi="Times New Roman"/>
          <w:sz w:val="24"/>
          <w:szCs w:val="24"/>
        </w:rPr>
        <w:t xml:space="preserve"> рублей</w:t>
      </w:r>
      <w:r w:rsidRPr="00920C0E">
        <w:rPr>
          <w:rFonts w:ascii="Times New Roman" w:eastAsia="Calibri" w:hAnsi="Times New Roman"/>
          <w:sz w:val="24"/>
          <w:szCs w:val="24"/>
        </w:rPr>
        <w:t xml:space="preserve">, при плановом показателе в </w:t>
      </w:r>
      <w:r w:rsidR="004C5C16" w:rsidRPr="00920C0E">
        <w:rPr>
          <w:rFonts w:ascii="Times New Roman" w:eastAsia="Calibri" w:hAnsi="Times New Roman"/>
          <w:sz w:val="24"/>
          <w:szCs w:val="24"/>
        </w:rPr>
        <w:t>10326,3</w:t>
      </w:r>
      <w:r w:rsidRPr="00920C0E">
        <w:rPr>
          <w:rFonts w:ascii="Times New Roman" w:eastAsia="Calibri" w:hAnsi="Times New Roman"/>
          <w:sz w:val="24"/>
          <w:szCs w:val="24"/>
        </w:rPr>
        <w:t xml:space="preserve"> тыс. рублей.</w:t>
      </w:r>
    </w:p>
    <w:p w:rsidR="00A7703B" w:rsidRPr="00920C0E" w:rsidRDefault="00A7703B" w:rsidP="00511A4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/>
          <w:sz w:val="24"/>
          <w:szCs w:val="24"/>
        </w:rPr>
        <w:t>Также в рамках реализации программы удалось добиться следующих результатов: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920C0E">
        <w:rPr>
          <w:rFonts w:ascii="Times New Roman" w:hAnsi="Times New Roman"/>
          <w:bCs/>
          <w:sz w:val="24"/>
          <w:szCs w:val="24"/>
        </w:rPr>
        <w:t xml:space="preserve">1. Достигнут необходимый уровень антитеррористической безопасности при минимизации бюджетных затрат. </w:t>
      </w:r>
      <w:r w:rsidR="004C5C16" w:rsidRPr="00920C0E">
        <w:rPr>
          <w:rFonts w:ascii="Times New Roman" w:hAnsi="Times New Roman"/>
          <w:bCs/>
          <w:sz w:val="24"/>
          <w:szCs w:val="24"/>
        </w:rPr>
        <w:t>100</w:t>
      </w:r>
      <w:r w:rsidRPr="00920C0E">
        <w:rPr>
          <w:rFonts w:ascii="Times New Roman" w:hAnsi="Times New Roman"/>
          <w:bCs/>
          <w:sz w:val="24"/>
          <w:szCs w:val="24"/>
        </w:rPr>
        <w:t>% мероприятий выполнено силами организаций, учреждений и предприятий. Среди выполненных мероприятий приобретение систем видеонаблюдения, ремонт ограждений и оборудование путей эвакуации.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bCs/>
          <w:sz w:val="24"/>
          <w:szCs w:val="24"/>
        </w:rPr>
        <w:t xml:space="preserve"> 2. Обеспечен </w:t>
      </w:r>
      <w:r w:rsidRPr="00920C0E">
        <w:rPr>
          <w:rFonts w:ascii="Times New Roman" w:hAnsi="Times New Roman"/>
          <w:sz w:val="24"/>
          <w:szCs w:val="24"/>
          <w:lang w:val="x-none"/>
        </w:rPr>
        <w:t>уров</w:t>
      </w:r>
      <w:r w:rsidRPr="00920C0E">
        <w:rPr>
          <w:rFonts w:ascii="Times New Roman" w:hAnsi="Times New Roman"/>
          <w:sz w:val="24"/>
          <w:szCs w:val="24"/>
        </w:rPr>
        <w:t>ень</w:t>
      </w:r>
      <w:r w:rsidRPr="00920C0E">
        <w:rPr>
          <w:rFonts w:ascii="Times New Roman" w:hAnsi="Times New Roman"/>
          <w:sz w:val="24"/>
          <w:szCs w:val="24"/>
          <w:lang w:val="x-none"/>
        </w:rPr>
        <w:t xml:space="preserve"> межведомственного взаимодействия по профилактике терроризма и экстремизма.</w:t>
      </w:r>
      <w:r w:rsidR="0078670A" w:rsidRPr="00920C0E">
        <w:rPr>
          <w:rFonts w:ascii="Times New Roman" w:hAnsi="Times New Roman"/>
          <w:sz w:val="24"/>
          <w:szCs w:val="24"/>
        </w:rPr>
        <w:t xml:space="preserve"> В 202</w:t>
      </w:r>
      <w:r w:rsidR="004C5C16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 году были</w:t>
      </w:r>
      <w:r w:rsidR="0078670A" w:rsidRPr="00920C0E">
        <w:rPr>
          <w:rFonts w:ascii="Times New Roman" w:hAnsi="Times New Roman"/>
          <w:sz w:val="24"/>
          <w:szCs w:val="24"/>
        </w:rPr>
        <w:t xml:space="preserve"> проведены</w:t>
      </w:r>
      <w:r w:rsidRPr="00920C0E">
        <w:rPr>
          <w:rFonts w:ascii="Times New Roman" w:hAnsi="Times New Roman"/>
          <w:sz w:val="24"/>
          <w:szCs w:val="24"/>
        </w:rPr>
        <w:t xml:space="preserve"> 4 заседания АТК, рассмотрены все проблемные вопросы.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lastRenderedPageBreak/>
        <w:t xml:space="preserve"> 4. Улучшена социальная защищённость жителей округа, техническая </w:t>
      </w:r>
      <w:proofErr w:type="spellStart"/>
      <w:r w:rsidRPr="00920C0E">
        <w:rPr>
          <w:rFonts w:ascii="Times New Roman" w:hAnsi="Times New Roman"/>
          <w:sz w:val="24"/>
          <w:szCs w:val="24"/>
        </w:rPr>
        <w:t>укреплённость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организаций, учреждений и предприятий округа в случае возникновения террористической угрозы.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5. Возрос уровень защищённости населения в области противодействия террористической угрозы.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6. Улучшен контроль со стороны ТП УФМС России по Нижегородской области в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муниципальном округе за привлечением и использованием труда иностранных работников на территории округа.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7. Обеспечена готовность сил и средств к отражению нападений террористов на объекты транспорта, торговли, мест массового пребывания людей.</w:t>
      </w:r>
    </w:p>
    <w:p w:rsidR="00A7703B" w:rsidRPr="00920C0E" w:rsidRDefault="00A7703B" w:rsidP="00511A4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8. Закреплена тенденция общей стабилизации криминальной ситуации, уменьшить темп роста преступности в целом.</w:t>
      </w:r>
    </w:p>
    <w:p w:rsidR="00FC143A" w:rsidRDefault="00FC143A" w:rsidP="002D7C5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D7C52" w:rsidRPr="00920C0E" w:rsidRDefault="002D7C52" w:rsidP="002D7C52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/>
          <w:b/>
          <w:sz w:val="24"/>
          <w:szCs w:val="24"/>
        </w:rPr>
        <w:t xml:space="preserve">«Защита населения и территорий от чрезвычайных ситуаций природного и техногенного характера, обеспечение пожарной безопасности людей на водных объектах </w:t>
      </w:r>
      <w:proofErr w:type="spellStart"/>
      <w:r w:rsidRPr="00920C0E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на 2018-202</w:t>
      </w:r>
      <w:r w:rsidR="00040FE0" w:rsidRPr="00920C0E">
        <w:rPr>
          <w:rFonts w:ascii="Times New Roman" w:hAnsi="Times New Roman"/>
          <w:b/>
          <w:sz w:val="24"/>
          <w:szCs w:val="24"/>
        </w:rPr>
        <w:t>6</w:t>
      </w:r>
      <w:r w:rsidRPr="00920C0E">
        <w:rPr>
          <w:rFonts w:ascii="Times New Roman" w:hAnsi="Times New Roman"/>
          <w:b/>
          <w:sz w:val="24"/>
          <w:szCs w:val="24"/>
        </w:rPr>
        <w:t xml:space="preserve"> годы» </w:t>
      </w:r>
      <w:r w:rsidRPr="00920C0E">
        <w:rPr>
          <w:rFonts w:ascii="Times New Roman" w:hAnsi="Times New Roman" w:cs="Times New Roman"/>
          <w:sz w:val="24"/>
          <w:szCs w:val="24"/>
        </w:rPr>
        <w:t>Ресурсное обеспечение по этой программ</w:t>
      </w:r>
      <w:r w:rsidR="00643755" w:rsidRPr="00920C0E">
        <w:rPr>
          <w:rFonts w:ascii="Times New Roman" w:hAnsi="Times New Roman" w:cs="Times New Roman"/>
          <w:sz w:val="24"/>
          <w:szCs w:val="24"/>
        </w:rPr>
        <w:t>е исполнены на 96</w:t>
      </w:r>
      <w:r w:rsidRPr="00920C0E">
        <w:rPr>
          <w:rFonts w:ascii="Times New Roman" w:hAnsi="Times New Roman" w:cs="Times New Roman"/>
          <w:sz w:val="24"/>
          <w:szCs w:val="24"/>
        </w:rPr>
        <w:t>% от плана. Исполнени</w:t>
      </w:r>
      <w:r w:rsidR="00643755" w:rsidRPr="00920C0E">
        <w:rPr>
          <w:rFonts w:ascii="Times New Roman" w:hAnsi="Times New Roman" w:cs="Times New Roman"/>
          <w:sz w:val="24"/>
          <w:szCs w:val="24"/>
        </w:rPr>
        <w:t>е по индикаторам составило 103,3</w:t>
      </w:r>
      <w:r w:rsidRPr="00920C0E">
        <w:rPr>
          <w:rFonts w:ascii="Times New Roman" w:hAnsi="Times New Roman" w:cs="Times New Roman"/>
          <w:sz w:val="24"/>
          <w:szCs w:val="24"/>
        </w:rPr>
        <w:t>%. Запланированные мероприятия реализованы на 100% Оценка степени эффективности данной программы неудовлетворительная.</w:t>
      </w:r>
    </w:p>
    <w:p w:rsidR="00643755" w:rsidRPr="00920C0E" w:rsidRDefault="00643755" w:rsidP="0064375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0C0E">
        <w:rPr>
          <w:rFonts w:ascii="Times New Roman" w:hAnsi="Times New Roman"/>
          <w:sz w:val="24"/>
          <w:szCs w:val="24"/>
        </w:rPr>
        <w:t xml:space="preserve">В соответствии с планом приведения ЕДДС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ГОСТ Р 22.7.01.2021 «Безопасность в чрезвычайных ситуациях. Единая дежурно-диспетчерская служба. Основные положения» за 2025 год </w:t>
      </w:r>
      <w:r w:rsidRPr="00920C0E">
        <w:rPr>
          <w:rFonts w:ascii="Times New Roman" w:hAnsi="Times New Roman"/>
          <w:sz w:val="24"/>
          <w:szCs w:val="24"/>
          <w:lang w:eastAsia="ar-SA"/>
        </w:rPr>
        <w:t>приобретено:</w:t>
      </w:r>
    </w:p>
    <w:p w:rsidR="00643755" w:rsidRPr="00920C0E" w:rsidRDefault="00643755" w:rsidP="0064375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0C0E">
        <w:rPr>
          <w:rFonts w:ascii="Times New Roman" w:hAnsi="Times New Roman"/>
          <w:sz w:val="24"/>
          <w:szCs w:val="24"/>
          <w:lang w:eastAsia="ar-SA"/>
        </w:rPr>
        <w:t>- Два автоматизированных рабочих места (системные блоки, мониторы, клавиатура, мыши, системы бесперебойного питания) на сумму 99 992 руб.</w:t>
      </w:r>
    </w:p>
    <w:p w:rsidR="00643755" w:rsidRPr="00920C0E" w:rsidRDefault="00643755" w:rsidP="006437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На базе УМЦ по ГОЧС Нижегородской области имени Маршала Советского Союза </w:t>
      </w:r>
      <w:proofErr w:type="spellStart"/>
      <w:r w:rsidRPr="00920C0E">
        <w:rPr>
          <w:rFonts w:ascii="Times New Roman" w:hAnsi="Times New Roman"/>
          <w:sz w:val="24"/>
          <w:szCs w:val="24"/>
        </w:rPr>
        <w:t>В.И.Чуйкова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в 2025 году прошли повышение квалификации два специалиста ЕДДС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643755" w:rsidRPr="00920C0E" w:rsidRDefault="00643755" w:rsidP="006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20C0E">
        <w:rPr>
          <w:rFonts w:ascii="Times New Roman" w:hAnsi="Times New Roman"/>
          <w:sz w:val="16"/>
          <w:szCs w:val="16"/>
        </w:rPr>
        <w:t xml:space="preserve">                </w:t>
      </w:r>
      <w:r w:rsidRPr="00920C0E">
        <w:rPr>
          <w:rFonts w:ascii="Times New Roman" w:eastAsia="Calibri" w:hAnsi="Times New Roman"/>
          <w:sz w:val="24"/>
          <w:szCs w:val="24"/>
        </w:rPr>
        <w:t>Для предупреждения и ликвидации ЧС и последствий стихийных бедствий в</w:t>
      </w:r>
      <w:r w:rsidRPr="00920C0E">
        <w:rPr>
          <w:rFonts w:ascii="Times New Roman" w:hAnsi="Times New Roman"/>
          <w:sz w:val="24"/>
          <w:szCs w:val="24"/>
        </w:rPr>
        <w:t xml:space="preserve">ыделены </w:t>
      </w:r>
      <w:r w:rsidRPr="00920C0E">
        <w:rPr>
          <w:rFonts w:ascii="Times New Roman" w:eastAsia="Calibri" w:hAnsi="Times New Roman"/>
          <w:sz w:val="24"/>
          <w:szCs w:val="24"/>
        </w:rPr>
        <w:t>финансовые средства из целевого финансового резерва на</w:t>
      </w:r>
    </w:p>
    <w:p w:rsidR="00095C06" w:rsidRDefault="00643755" w:rsidP="00095C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оплату по устранению аварийной ситуации, произошедшей на канализационных сетях по адресу </w:t>
      </w:r>
      <w:proofErr w:type="spellStart"/>
      <w:r w:rsidRPr="00920C0E">
        <w:rPr>
          <w:rFonts w:ascii="Times New Roman" w:hAnsi="Times New Roman"/>
          <w:sz w:val="24"/>
          <w:szCs w:val="24"/>
        </w:rPr>
        <w:t>р.п.Пильна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/>
          <w:sz w:val="24"/>
          <w:szCs w:val="24"/>
        </w:rPr>
        <w:t>ул.Т.Мартемьяновой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д.7; на ремонт теплотрассы к зданию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spellStart"/>
      <w:r w:rsidRPr="00920C0E">
        <w:rPr>
          <w:rFonts w:ascii="Times New Roman" w:hAnsi="Times New Roman"/>
          <w:sz w:val="24"/>
          <w:szCs w:val="24"/>
        </w:rPr>
        <w:t>р.п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. Пильна, ул. Урицкого д.12, на приобретение материала - труба </w:t>
      </w:r>
      <w:proofErr w:type="spellStart"/>
      <w:proofErr w:type="gramStart"/>
      <w:r w:rsidRPr="00920C0E">
        <w:rPr>
          <w:rFonts w:ascii="Times New Roman" w:hAnsi="Times New Roman"/>
          <w:sz w:val="24"/>
          <w:szCs w:val="24"/>
        </w:rPr>
        <w:t>ст.эсв</w:t>
      </w:r>
      <w:proofErr w:type="spellEnd"/>
      <w:proofErr w:type="gramEnd"/>
      <w:r w:rsidRPr="00920C0E">
        <w:rPr>
          <w:rFonts w:ascii="Times New Roman" w:hAnsi="Times New Roman"/>
          <w:sz w:val="24"/>
          <w:szCs w:val="24"/>
        </w:rPr>
        <w:t xml:space="preserve">. (ГОСТ 10704) 76*3Б5/140 в количестве 60 м.; на оплату работ по очистке и углублению противопожарного водоема в с. </w:t>
      </w:r>
      <w:proofErr w:type="spellStart"/>
      <w:r w:rsidRPr="00920C0E">
        <w:rPr>
          <w:rFonts w:ascii="Times New Roman" w:hAnsi="Times New Roman"/>
          <w:sz w:val="24"/>
          <w:szCs w:val="24"/>
        </w:rPr>
        <w:t>Княжиха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на ул. Полевая; на оплату работ по очистке пожарного водоема в с. Малое </w:t>
      </w:r>
      <w:proofErr w:type="spellStart"/>
      <w:r w:rsidRPr="00920C0E">
        <w:rPr>
          <w:rFonts w:ascii="Times New Roman" w:hAnsi="Times New Roman"/>
          <w:sz w:val="24"/>
          <w:szCs w:val="24"/>
        </w:rPr>
        <w:t>Андосово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; на оплату по устранению аварийной ситуации, произошедшей на канализационных сетях по адресу </w:t>
      </w:r>
      <w:proofErr w:type="spellStart"/>
      <w:r w:rsidRPr="00920C0E">
        <w:rPr>
          <w:rFonts w:ascii="Times New Roman" w:hAnsi="Times New Roman"/>
          <w:sz w:val="24"/>
          <w:szCs w:val="24"/>
        </w:rPr>
        <w:t>р.п.Пильна</w:t>
      </w:r>
      <w:proofErr w:type="spellEnd"/>
      <w:r w:rsidRPr="00920C0E">
        <w:rPr>
          <w:rFonts w:ascii="Times New Roman" w:hAnsi="Times New Roman"/>
          <w:sz w:val="24"/>
          <w:szCs w:val="24"/>
        </w:rPr>
        <w:t>, от переулка Больничный до дома №5 ул. 40 лет Победы; на приобретение колец, крышек, люков и оплаты работ экскаватора по прокладке канализационной сети, с установкой канализационных колодцев для устранения аварийной ситуации, произошедшей. на канализационных сетях по адресу: р.п. Пильна</w:t>
      </w:r>
      <w:r w:rsidRPr="00920C0E">
        <w:rPr>
          <w:sz w:val="24"/>
          <w:szCs w:val="24"/>
        </w:rPr>
        <w:t xml:space="preserve"> </w:t>
      </w:r>
      <w:r w:rsidRPr="00920C0E">
        <w:rPr>
          <w:rFonts w:ascii="Times New Roman" w:hAnsi="Times New Roman"/>
          <w:sz w:val="24"/>
          <w:szCs w:val="24"/>
        </w:rPr>
        <w:t xml:space="preserve">участок от пер. Больничный до дома №5 ул. 40 лет Победы; на ремонт сети наружного водопровода по ул. Революции, ул. Макарова в с. </w:t>
      </w:r>
      <w:proofErr w:type="spellStart"/>
      <w:r w:rsidRPr="00920C0E">
        <w:rPr>
          <w:rFonts w:ascii="Times New Roman" w:hAnsi="Times New Roman"/>
          <w:sz w:val="24"/>
          <w:szCs w:val="24"/>
        </w:rPr>
        <w:t>Медяна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на спил и ликвидацию аварийных деревьев в парке 40 лет Октября р.п. Пильна; на спил и ликвидацию аварийно-опасных деревьев в парке 40 лет Октября  и ул. Ленина, Урицкого р.п. Пильна; на </w:t>
      </w:r>
      <w:r w:rsidRPr="00920C0E">
        <w:rPr>
          <w:rFonts w:ascii="Times New Roman" w:hAnsi="Times New Roman"/>
          <w:sz w:val="24"/>
          <w:szCs w:val="24"/>
          <w:lang w:eastAsia="ru-RU"/>
        </w:rPr>
        <w:t xml:space="preserve">ремонт и чистку водопропускной трубы   с. </w:t>
      </w:r>
      <w:proofErr w:type="spellStart"/>
      <w:r w:rsidRPr="00920C0E">
        <w:rPr>
          <w:rFonts w:ascii="Times New Roman" w:hAnsi="Times New Roman"/>
          <w:sz w:val="24"/>
          <w:szCs w:val="24"/>
          <w:lang w:eastAsia="ru-RU"/>
        </w:rPr>
        <w:t>Алисаново</w:t>
      </w:r>
      <w:proofErr w:type="spellEnd"/>
      <w:r w:rsidRPr="00920C0E">
        <w:rPr>
          <w:rFonts w:ascii="Times New Roman" w:hAnsi="Times New Roman"/>
          <w:sz w:val="24"/>
          <w:szCs w:val="24"/>
          <w:lang w:eastAsia="ru-RU"/>
        </w:rPr>
        <w:t xml:space="preserve"> на автодороге ул. Зеленая от д.44 до кладбищ</w:t>
      </w:r>
      <w:r w:rsidRPr="00920C0E">
        <w:rPr>
          <w:rFonts w:ascii="Times New Roman" w:hAnsi="Times New Roman"/>
          <w:sz w:val="24"/>
          <w:szCs w:val="24"/>
        </w:rPr>
        <w:t xml:space="preserve">; на оплату работ видео диагностики и ремонтных работ водозаборной скважины с. Малое </w:t>
      </w:r>
      <w:proofErr w:type="spellStart"/>
      <w:r w:rsidRPr="00920C0E">
        <w:rPr>
          <w:rFonts w:ascii="Times New Roman" w:hAnsi="Times New Roman"/>
          <w:sz w:val="24"/>
          <w:szCs w:val="24"/>
        </w:rPr>
        <w:t>Андосово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округа; на ремонт кровли здания по адресу: Нижегородская область, р.п. Пильна, ул. Урицкого, д.10; на ремонт теплотрассы и водопровода к зданию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spellStart"/>
      <w:r w:rsidRPr="00920C0E">
        <w:rPr>
          <w:rFonts w:ascii="Times New Roman" w:hAnsi="Times New Roman"/>
          <w:sz w:val="24"/>
          <w:szCs w:val="24"/>
        </w:rPr>
        <w:t>р.п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. Пильна, ул. Урицкого, д.12; на спил и ликвидацию аварийно-опасных деревьев по ул. Казанка в с. </w:t>
      </w:r>
      <w:proofErr w:type="spellStart"/>
      <w:r w:rsidRPr="00920C0E">
        <w:rPr>
          <w:rFonts w:ascii="Times New Roman" w:hAnsi="Times New Roman"/>
          <w:sz w:val="24"/>
          <w:szCs w:val="24"/>
        </w:rPr>
        <w:t>Наваты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округа; на ремонт участка водопроводной сети ул. Ливанова от д.2 до водонапорной башни д. </w:t>
      </w:r>
      <w:proofErr w:type="spellStart"/>
      <w:r w:rsidRPr="00920C0E">
        <w:rPr>
          <w:rFonts w:ascii="Times New Roman" w:hAnsi="Times New Roman"/>
          <w:sz w:val="24"/>
          <w:szCs w:val="24"/>
        </w:rPr>
        <w:t>Беловка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округа; на ремонт газового котла КВСУ-100 в котельной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920C0E">
        <w:rPr>
          <w:rFonts w:ascii="Times New Roman" w:hAnsi="Times New Roman"/>
          <w:sz w:val="24"/>
          <w:szCs w:val="24"/>
        </w:rPr>
        <w:t>М.О.Пильнинский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/>
          <w:sz w:val="24"/>
          <w:szCs w:val="24"/>
        </w:rPr>
        <w:t>р.п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. Пильна ул. Урицкого д.12; на ремонт газового котла КВСУ-100 в котельной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920C0E">
        <w:rPr>
          <w:rFonts w:ascii="Times New Roman" w:hAnsi="Times New Roman"/>
          <w:sz w:val="24"/>
          <w:szCs w:val="24"/>
        </w:rPr>
        <w:lastRenderedPageBreak/>
        <w:t>М.О.Пильнинский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/>
          <w:sz w:val="24"/>
          <w:szCs w:val="24"/>
        </w:rPr>
        <w:t>р.п</w:t>
      </w:r>
      <w:proofErr w:type="spellEnd"/>
      <w:r w:rsidRPr="00920C0E">
        <w:rPr>
          <w:rFonts w:ascii="Times New Roman" w:hAnsi="Times New Roman"/>
          <w:sz w:val="24"/>
          <w:szCs w:val="24"/>
        </w:rPr>
        <w:t>. Пильна ул. Урицкого д.12; на ликвидацию аварийной ситуации на канализационных сетях по адресу: р.п. Пильна</w:t>
      </w:r>
      <w:r w:rsidRPr="00920C0E">
        <w:rPr>
          <w:sz w:val="24"/>
          <w:szCs w:val="24"/>
        </w:rPr>
        <w:t xml:space="preserve"> </w:t>
      </w:r>
      <w:r w:rsidRPr="00920C0E">
        <w:rPr>
          <w:rFonts w:ascii="Times New Roman" w:hAnsi="Times New Roman"/>
          <w:sz w:val="24"/>
          <w:szCs w:val="24"/>
        </w:rPr>
        <w:t>пер. Центральный д.2.</w:t>
      </w:r>
    </w:p>
    <w:p w:rsidR="00511A40" w:rsidRPr="00095C06" w:rsidRDefault="00095C06" w:rsidP="00095C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11A40" w:rsidRPr="008937F8">
        <w:rPr>
          <w:rFonts w:ascii="Times New Roman" w:hAnsi="Times New Roman"/>
          <w:b/>
          <w:sz w:val="24"/>
          <w:szCs w:val="24"/>
        </w:rPr>
        <w:t xml:space="preserve">«Формирование комфортной  городской среды на территории </w:t>
      </w:r>
      <w:proofErr w:type="spellStart"/>
      <w:r w:rsidR="00511A40" w:rsidRPr="008937F8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="00511A40" w:rsidRPr="008937F8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на 202</w:t>
      </w:r>
      <w:r w:rsidR="00C002E5">
        <w:rPr>
          <w:rFonts w:ascii="Times New Roman" w:hAnsi="Times New Roman"/>
          <w:b/>
          <w:sz w:val="24"/>
          <w:szCs w:val="24"/>
        </w:rPr>
        <w:t>3</w:t>
      </w:r>
      <w:r w:rsidR="00BF6C65" w:rsidRPr="008937F8">
        <w:rPr>
          <w:rFonts w:ascii="Times New Roman" w:hAnsi="Times New Roman"/>
          <w:b/>
          <w:sz w:val="24"/>
          <w:szCs w:val="24"/>
        </w:rPr>
        <w:t>-202</w:t>
      </w:r>
      <w:r w:rsidR="00C4092F">
        <w:rPr>
          <w:rFonts w:ascii="Times New Roman" w:hAnsi="Times New Roman"/>
          <w:b/>
          <w:sz w:val="24"/>
          <w:szCs w:val="24"/>
        </w:rPr>
        <w:t>7</w:t>
      </w:r>
      <w:r w:rsidR="00511A40" w:rsidRPr="008937F8">
        <w:rPr>
          <w:rFonts w:ascii="Times New Roman" w:hAnsi="Times New Roman"/>
          <w:b/>
          <w:sz w:val="24"/>
          <w:szCs w:val="24"/>
        </w:rPr>
        <w:t xml:space="preserve"> годы»</w:t>
      </w:r>
      <w:r w:rsidR="00511A40" w:rsidRPr="008937F8">
        <w:rPr>
          <w:rFonts w:ascii="Times New Roman" w:hAnsi="Times New Roman" w:cs="Times New Roman"/>
          <w:sz w:val="24"/>
          <w:szCs w:val="24"/>
        </w:rPr>
        <w:t xml:space="preserve"> Ресурсное обеспечение по</w:t>
      </w:r>
      <w:r w:rsidR="00BF6C65"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C4092F">
        <w:rPr>
          <w:rFonts w:ascii="Times New Roman" w:hAnsi="Times New Roman" w:cs="Times New Roman"/>
          <w:sz w:val="24"/>
          <w:szCs w:val="24"/>
        </w:rPr>
        <w:t>этой программе исполнены на 99,4</w:t>
      </w:r>
      <w:r w:rsidR="00511A40" w:rsidRPr="008937F8">
        <w:rPr>
          <w:rFonts w:ascii="Times New Roman" w:hAnsi="Times New Roman" w:cs="Times New Roman"/>
          <w:sz w:val="24"/>
          <w:szCs w:val="24"/>
        </w:rPr>
        <w:t xml:space="preserve">% от плана. Исполнение по индикаторам составило 100%. Запланированные мероприятия реализованы на 100% Оценка степени эффективности данной программы </w:t>
      </w:r>
      <w:r w:rsidR="00BF6C65" w:rsidRPr="008937F8">
        <w:rPr>
          <w:rFonts w:ascii="Times New Roman" w:hAnsi="Times New Roman" w:cs="Times New Roman"/>
          <w:sz w:val="24"/>
          <w:szCs w:val="24"/>
        </w:rPr>
        <w:t>высокая</w:t>
      </w:r>
      <w:r w:rsidR="00511A40" w:rsidRPr="008937F8">
        <w:rPr>
          <w:rFonts w:ascii="Times New Roman" w:hAnsi="Times New Roman" w:cs="Times New Roman"/>
          <w:sz w:val="24"/>
          <w:szCs w:val="24"/>
        </w:rPr>
        <w:t>.</w:t>
      </w:r>
    </w:p>
    <w:p w:rsidR="001C5CF1" w:rsidRPr="008937F8" w:rsidRDefault="001C5CF1" w:rsidP="00511A40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В процессе реализации данной муниципальной программы, целью которой является создание комфортных условий проживания населения, обеспечивающих повышение качества жизни, на основе проведения комплексного благоустройства территорий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</w:t>
      </w:r>
      <w:proofErr w:type="gramStart"/>
      <w:r w:rsidRPr="008937F8">
        <w:rPr>
          <w:rFonts w:ascii="Times New Roman" w:eastAsia="Courier New" w:hAnsi="Times New Roman" w:cs="Times New Roman"/>
          <w:sz w:val="24"/>
          <w:szCs w:val="24"/>
        </w:rPr>
        <w:t>округа  Нижегородской</w:t>
      </w:r>
      <w:proofErr w:type="gram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области в 202</w:t>
      </w:r>
      <w:r w:rsidR="00C4092F">
        <w:rPr>
          <w:rFonts w:ascii="Times New Roman" w:eastAsia="Courier New" w:hAnsi="Times New Roman" w:cs="Times New Roman"/>
          <w:sz w:val="24"/>
          <w:szCs w:val="24"/>
        </w:rPr>
        <w:t>5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году были достигнуты следующие результаты: выполнены работы по благоустройству  </w:t>
      </w:r>
      <w:r w:rsidR="00C4092F">
        <w:rPr>
          <w:rFonts w:ascii="Times New Roman" w:eastAsia="Courier New" w:hAnsi="Times New Roman" w:cs="Times New Roman"/>
          <w:sz w:val="24"/>
          <w:szCs w:val="24"/>
        </w:rPr>
        <w:t>территории сквера Петра 1</w:t>
      </w:r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 xml:space="preserve"> в р.п. Пильна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="00C4092F">
        <w:rPr>
          <w:rFonts w:ascii="Times New Roman" w:eastAsia="Courier New" w:hAnsi="Times New Roman" w:cs="Times New Roman"/>
          <w:sz w:val="24"/>
          <w:szCs w:val="24"/>
        </w:rPr>
        <w:t>8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дворовых территорий</w:t>
      </w:r>
      <w:r w:rsidR="00C4092F">
        <w:rPr>
          <w:rFonts w:ascii="Times New Roman" w:eastAsia="Courier New" w:hAnsi="Times New Roman" w:cs="Times New Roman"/>
          <w:sz w:val="24"/>
          <w:szCs w:val="24"/>
        </w:rPr>
        <w:t xml:space="preserve"> в р.п. Пильна и в с. </w:t>
      </w:r>
      <w:proofErr w:type="spellStart"/>
      <w:r w:rsidR="00C4092F">
        <w:rPr>
          <w:rFonts w:ascii="Times New Roman" w:eastAsia="Courier New" w:hAnsi="Times New Roman" w:cs="Times New Roman"/>
          <w:sz w:val="24"/>
          <w:szCs w:val="24"/>
        </w:rPr>
        <w:t>Курмыш</w:t>
      </w:r>
      <w:proofErr w:type="spellEnd"/>
      <w:r w:rsidR="00C4092F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0635B" w:rsidRDefault="0060635B" w:rsidP="00893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095C0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092F" w:rsidRDefault="00C4092F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092F" w:rsidRDefault="00C4092F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092F" w:rsidRPr="00E12C7D" w:rsidRDefault="00C4092F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1403A" w:rsidRPr="00E12C7D" w:rsidRDefault="004F5392" w:rsidP="009876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7D">
        <w:rPr>
          <w:rFonts w:ascii="Times New Roman" w:hAnsi="Times New Roman" w:cs="Times New Roman"/>
          <w:b/>
          <w:sz w:val="24"/>
          <w:szCs w:val="24"/>
        </w:rPr>
        <w:lastRenderedPageBreak/>
        <w:t>Рейтинг оценки эффективност</w:t>
      </w:r>
      <w:r w:rsidR="00534117" w:rsidRPr="00E12C7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C5CF1">
        <w:rPr>
          <w:rFonts w:ascii="Times New Roman" w:hAnsi="Times New Roman" w:cs="Times New Roman"/>
          <w:b/>
          <w:sz w:val="24"/>
          <w:szCs w:val="24"/>
        </w:rPr>
        <w:t>муниципальных программ за 202</w:t>
      </w:r>
      <w:r w:rsidR="00025FCE">
        <w:rPr>
          <w:rFonts w:ascii="Times New Roman" w:hAnsi="Times New Roman" w:cs="Times New Roman"/>
          <w:b/>
          <w:sz w:val="24"/>
          <w:szCs w:val="24"/>
        </w:rPr>
        <w:t>5</w:t>
      </w:r>
      <w:r w:rsidR="0098764A" w:rsidRPr="00E12C7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8764A" w:rsidRPr="00E12C7D" w:rsidRDefault="0098764A" w:rsidP="009876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7386"/>
        <w:gridCol w:w="1317"/>
      </w:tblGrid>
      <w:tr w:rsidR="00452281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E12C7D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9267F5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E12C7D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Численное значение</w:t>
            </w:r>
          </w:p>
        </w:tc>
      </w:tr>
      <w:tr w:rsidR="00452281" w:rsidRPr="00E12C7D" w:rsidTr="007019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81" w:rsidRPr="009267F5" w:rsidRDefault="00452281" w:rsidP="00600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b/>
                <w:sz w:val="24"/>
                <w:szCs w:val="24"/>
              </w:rPr>
              <w:t>ВЫСОКАЯ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обстановки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округа на 2024-2027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агропромышленного комплекса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2024-2027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1,118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финансами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2023-2027 годы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1,034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комфортной городской среды на территории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2023-2027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экстремизма на территории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2019-2026 годы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2023-2027 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0,909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 xml:space="preserve">доступной среды для инвалидов и маломобильных групп населения в </w:t>
            </w:r>
            <w:proofErr w:type="spellStart"/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</w:t>
            </w: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на 2024-2027 годы»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048DB" w:rsidRPr="00920C0E" w:rsidTr="00A8412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 на 2016 – 2026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0,872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туризма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округа на 2018-2027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048DB" w:rsidRPr="00920C0E" w:rsidTr="007019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УДОВЛЕТВОРИТЕЛЬНАЯ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 общество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2022-2026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0,783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FC143A">
        <w:trPr>
          <w:trHeight w:val="57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3A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2024-2027</w:t>
            </w:r>
            <w:r w:rsidR="00FC143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0,766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0,757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FC143A">
        <w:trPr>
          <w:trHeight w:val="4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собственностью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2025-2027 годы   </w:t>
            </w: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0,734</w:t>
            </w:r>
          </w:p>
        </w:tc>
      </w:tr>
      <w:tr w:rsidR="00E048DB" w:rsidRPr="00920C0E" w:rsidTr="003F434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НЕУДОВЛЕТВОРИТЕЛЬНАЯ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 области на 2018-2026 годы. 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 на 2018-2027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0,662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граждан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2016-2026 годы.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0,424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060" w:rsidRPr="00FC143A" w:rsidRDefault="00C4092F" w:rsidP="00FC14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>Без степени оценки:</w:t>
      </w:r>
    </w:p>
    <w:p w:rsidR="00C4092F" w:rsidRPr="00FC143A" w:rsidRDefault="00C4092F" w:rsidP="00987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 xml:space="preserve">Социальная поддержка малоимущих граждан при газификации домовладений в </w:t>
      </w:r>
      <w:proofErr w:type="spellStart"/>
      <w:r w:rsidRPr="00FC143A">
        <w:rPr>
          <w:rFonts w:ascii="Times New Roman" w:hAnsi="Times New Roman" w:cs="Times New Roman"/>
          <w:sz w:val="20"/>
          <w:szCs w:val="20"/>
        </w:rPr>
        <w:t>Пильнинском</w:t>
      </w:r>
      <w:proofErr w:type="spellEnd"/>
      <w:r w:rsidRPr="00FC143A">
        <w:rPr>
          <w:rFonts w:ascii="Times New Roman" w:hAnsi="Times New Roman" w:cs="Times New Roman"/>
          <w:sz w:val="20"/>
          <w:szCs w:val="20"/>
        </w:rPr>
        <w:t xml:space="preserve"> муниципальном округе на 2024-2026 годы</w:t>
      </w:r>
    </w:p>
    <w:p w:rsidR="00C4092F" w:rsidRPr="00FC143A" w:rsidRDefault="00C4092F" w:rsidP="00987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 xml:space="preserve">Обеспечение жильем молодых семей </w:t>
      </w:r>
      <w:proofErr w:type="spellStart"/>
      <w:r w:rsidRPr="00FC143A">
        <w:rPr>
          <w:rFonts w:ascii="Times New Roman" w:hAnsi="Times New Roman" w:cs="Times New Roman"/>
          <w:sz w:val="20"/>
          <w:szCs w:val="20"/>
        </w:rPr>
        <w:t>Пильнинского</w:t>
      </w:r>
      <w:proofErr w:type="spellEnd"/>
      <w:r w:rsidRPr="00FC143A">
        <w:rPr>
          <w:rFonts w:ascii="Times New Roman" w:hAnsi="Times New Roman" w:cs="Times New Roman"/>
          <w:sz w:val="20"/>
          <w:szCs w:val="20"/>
        </w:rPr>
        <w:t xml:space="preserve"> муниципального округа на период 2018-2026 годы</w:t>
      </w:r>
    </w:p>
    <w:p w:rsidR="00E00060" w:rsidRPr="00FC143A" w:rsidRDefault="00C4092F" w:rsidP="00FC143A">
      <w:pPr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 xml:space="preserve">            Повышение безопасности дорожного движения в </w:t>
      </w:r>
      <w:proofErr w:type="spellStart"/>
      <w:r w:rsidRPr="00FC143A">
        <w:rPr>
          <w:rFonts w:ascii="Times New Roman" w:hAnsi="Times New Roman" w:cs="Times New Roman"/>
          <w:sz w:val="20"/>
          <w:szCs w:val="20"/>
        </w:rPr>
        <w:t>Пильнинском</w:t>
      </w:r>
      <w:proofErr w:type="spellEnd"/>
      <w:r w:rsidRPr="00FC143A">
        <w:rPr>
          <w:rFonts w:ascii="Times New Roman" w:hAnsi="Times New Roman" w:cs="Times New Roman"/>
          <w:sz w:val="20"/>
          <w:szCs w:val="20"/>
        </w:rPr>
        <w:t xml:space="preserve"> муниципальном округа Нижегородской области на 2015-2026 годы</w:t>
      </w:r>
    </w:p>
    <w:p w:rsidR="00E00060" w:rsidRDefault="00E00060" w:rsidP="008D7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0060" w:rsidSect="008D7B9F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678"/>
    <w:multiLevelType w:val="hybridMultilevel"/>
    <w:tmpl w:val="F87C4608"/>
    <w:lvl w:ilvl="0" w:tplc="AB429AE2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8446A"/>
    <w:multiLevelType w:val="hybridMultilevel"/>
    <w:tmpl w:val="D71A8028"/>
    <w:lvl w:ilvl="0" w:tplc="AB429AE2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1683B"/>
    <w:multiLevelType w:val="hybridMultilevel"/>
    <w:tmpl w:val="DAF6CD48"/>
    <w:lvl w:ilvl="0" w:tplc="E2A2E9E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30683942"/>
    <w:multiLevelType w:val="hybridMultilevel"/>
    <w:tmpl w:val="37A2C648"/>
    <w:lvl w:ilvl="0" w:tplc="4CDCEC3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86558"/>
    <w:multiLevelType w:val="hybridMultilevel"/>
    <w:tmpl w:val="7AE40F0A"/>
    <w:lvl w:ilvl="0" w:tplc="EA74F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9F7458"/>
    <w:multiLevelType w:val="multilevel"/>
    <w:tmpl w:val="686A0A24"/>
    <w:lvl w:ilvl="0">
      <w:start w:val="1"/>
      <w:numFmt w:val="decimal"/>
      <w:lvlText w:val="%1."/>
      <w:lvlJc w:val="left"/>
      <w:pPr>
        <w:ind w:left="89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53"/>
    <w:rsid w:val="000135DD"/>
    <w:rsid w:val="00025FCE"/>
    <w:rsid w:val="0003298E"/>
    <w:rsid w:val="00034D72"/>
    <w:rsid w:val="00036FF0"/>
    <w:rsid w:val="00037503"/>
    <w:rsid w:val="00040FE0"/>
    <w:rsid w:val="000677DB"/>
    <w:rsid w:val="00072CD2"/>
    <w:rsid w:val="00082D47"/>
    <w:rsid w:val="00095C06"/>
    <w:rsid w:val="000B29FC"/>
    <w:rsid w:val="000B30C1"/>
    <w:rsid w:val="000C16A6"/>
    <w:rsid w:val="000C248A"/>
    <w:rsid w:val="000C373B"/>
    <w:rsid w:val="000D2A0A"/>
    <w:rsid w:val="000D3B6C"/>
    <w:rsid w:val="000D49BB"/>
    <w:rsid w:val="000D663E"/>
    <w:rsid w:val="000E6331"/>
    <w:rsid w:val="000E7E1B"/>
    <w:rsid w:val="000F043B"/>
    <w:rsid w:val="0010026D"/>
    <w:rsid w:val="00112167"/>
    <w:rsid w:val="00121BD1"/>
    <w:rsid w:val="001238FA"/>
    <w:rsid w:val="00124263"/>
    <w:rsid w:val="00127A3C"/>
    <w:rsid w:val="00127F13"/>
    <w:rsid w:val="0013103F"/>
    <w:rsid w:val="00166212"/>
    <w:rsid w:val="00177657"/>
    <w:rsid w:val="00182625"/>
    <w:rsid w:val="00191C8F"/>
    <w:rsid w:val="00192331"/>
    <w:rsid w:val="00194622"/>
    <w:rsid w:val="00194D8F"/>
    <w:rsid w:val="00197393"/>
    <w:rsid w:val="001A044D"/>
    <w:rsid w:val="001A2C8D"/>
    <w:rsid w:val="001B504E"/>
    <w:rsid w:val="001C0565"/>
    <w:rsid w:val="001C3C6C"/>
    <w:rsid w:val="001C5CF1"/>
    <w:rsid w:val="001D38CD"/>
    <w:rsid w:val="001D77D7"/>
    <w:rsid w:val="001E4BE6"/>
    <w:rsid w:val="001E4CDC"/>
    <w:rsid w:val="001E5073"/>
    <w:rsid w:val="001F0DF6"/>
    <w:rsid w:val="001F796F"/>
    <w:rsid w:val="00203B2B"/>
    <w:rsid w:val="00212F71"/>
    <w:rsid w:val="002136F5"/>
    <w:rsid w:val="002147A1"/>
    <w:rsid w:val="00215618"/>
    <w:rsid w:val="00222254"/>
    <w:rsid w:val="002377C2"/>
    <w:rsid w:val="00251A4B"/>
    <w:rsid w:val="00253A89"/>
    <w:rsid w:val="00267508"/>
    <w:rsid w:val="002739CB"/>
    <w:rsid w:val="00276DE0"/>
    <w:rsid w:val="00286058"/>
    <w:rsid w:val="00286341"/>
    <w:rsid w:val="00287D62"/>
    <w:rsid w:val="002970C5"/>
    <w:rsid w:val="002977BC"/>
    <w:rsid w:val="002A0720"/>
    <w:rsid w:val="002A359E"/>
    <w:rsid w:val="002A5416"/>
    <w:rsid w:val="002B1994"/>
    <w:rsid w:val="002B603D"/>
    <w:rsid w:val="002B664A"/>
    <w:rsid w:val="002C57E9"/>
    <w:rsid w:val="002C7A68"/>
    <w:rsid w:val="002D3596"/>
    <w:rsid w:val="002D5C75"/>
    <w:rsid w:val="002D7C52"/>
    <w:rsid w:val="002E1390"/>
    <w:rsid w:val="002E6330"/>
    <w:rsid w:val="002F7453"/>
    <w:rsid w:val="00314A10"/>
    <w:rsid w:val="00315BD0"/>
    <w:rsid w:val="00316D07"/>
    <w:rsid w:val="00320E18"/>
    <w:rsid w:val="00323753"/>
    <w:rsid w:val="00323CB2"/>
    <w:rsid w:val="0033231A"/>
    <w:rsid w:val="00335C1A"/>
    <w:rsid w:val="00350A7A"/>
    <w:rsid w:val="00357880"/>
    <w:rsid w:val="00365F83"/>
    <w:rsid w:val="00367270"/>
    <w:rsid w:val="00371619"/>
    <w:rsid w:val="003B0FAD"/>
    <w:rsid w:val="003B4308"/>
    <w:rsid w:val="003B61E8"/>
    <w:rsid w:val="003B6CED"/>
    <w:rsid w:val="003C09C5"/>
    <w:rsid w:val="003C3A7D"/>
    <w:rsid w:val="003D0DE1"/>
    <w:rsid w:val="003D5F6C"/>
    <w:rsid w:val="003E4855"/>
    <w:rsid w:val="003E7021"/>
    <w:rsid w:val="003E7929"/>
    <w:rsid w:val="003F0B9A"/>
    <w:rsid w:val="003F1541"/>
    <w:rsid w:val="0040034E"/>
    <w:rsid w:val="004041EF"/>
    <w:rsid w:val="0041403A"/>
    <w:rsid w:val="00417EC6"/>
    <w:rsid w:val="004237D1"/>
    <w:rsid w:val="0042684B"/>
    <w:rsid w:val="004308DD"/>
    <w:rsid w:val="004342CB"/>
    <w:rsid w:val="004349E3"/>
    <w:rsid w:val="00440102"/>
    <w:rsid w:val="00452281"/>
    <w:rsid w:val="00453EB3"/>
    <w:rsid w:val="00454E57"/>
    <w:rsid w:val="004604CB"/>
    <w:rsid w:val="004617EA"/>
    <w:rsid w:val="0046339C"/>
    <w:rsid w:val="00473475"/>
    <w:rsid w:val="004842AF"/>
    <w:rsid w:val="00485381"/>
    <w:rsid w:val="00487CD6"/>
    <w:rsid w:val="00491128"/>
    <w:rsid w:val="00495AB1"/>
    <w:rsid w:val="00496D7F"/>
    <w:rsid w:val="004A2081"/>
    <w:rsid w:val="004A4221"/>
    <w:rsid w:val="004B1A1E"/>
    <w:rsid w:val="004C375D"/>
    <w:rsid w:val="004C4A8A"/>
    <w:rsid w:val="004C5C16"/>
    <w:rsid w:val="004C643B"/>
    <w:rsid w:val="004C73EE"/>
    <w:rsid w:val="004C7C1F"/>
    <w:rsid w:val="004D06C3"/>
    <w:rsid w:val="004D4053"/>
    <w:rsid w:val="004E2696"/>
    <w:rsid w:val="004E3688"/>
    <w:rsid w:val="004F1898"/>
    <w:rsid w:val="004F3FE0"/>
    <w:rsid w:val="004F5392"/>
    <w:rsid w:val="0050058F"/>
    <w:rsid w:val="00501EE5"/>
    <w:rsid w:val="0050204C"/>
    <w:rsid w:val="00504AB0"/>
    <w:rsid w:val="00504FA8"/>
    <w:rsid w:val="005118E0"/>
    <w:rsid w:val="00511A40"/>
    <w:rsid w:val="00521150"/>
    <w:rsid w:val="00524908"/>
    <w:rsid w:val="0052504B"/>
    <w:rsid w:val="005271BE"/>
    <w:rsid w:val="00534117"/>
    <w:rsid w:val="00540648"/>
    <w:rsid w:val="0054679F"/>
    <w:rsid w:val="0055363A"/>
    <w:rsid w:val="00562A83"/>
    <w:rsid w:val="00567974"/>
    <w:rsid w:val="005679E5"/>
    <w:rsid w:val="0057053E"/>
    <w:rsid w:val="00571BA6"/>
    <w:rsid w:val="0057312D"/>
    <w:rsid w:val="00575EC9"/>
    <w:rsid w:val="00585E62"/>
    <w:rsid w:val="0059269E"/>
    <w:rsid w:val="00592A00"/>
    <w:rsid w:val="00595F36"/>
    <w:rsid w:val="005A0615"/>
    <w:rsid w:val="005A7C31"/>
    <w:rsid w:val="005B05E2"/>
    <w:rsid w:val="005C3A6F"/>
    <w:rsid w:val="005C73BF"/>
    <w:rsid w:val="005D485A"/>
    <w:rsid w:val="005E257F"/>
    <w:rsid w:val="005E4D26"/>
    <w:rsid w:val="005F0EA8"/>
    <w:rsid w:val="005F5609"/>
    <w:rsid w:val="005F6C7C"/>
    <w:rsid w:val="00600E82"/>
    <w:rsid w:val="00602AD3"/>
    <w:rsid w:val="006043CE"/>
    <w:rsid w:val="0060635B"/>
    <w:rsid w:val="0060677C"/>
    <w:rsid w:val="00616B70"/>
    <w:rsid w:val="00620BED"/>
    <w:rsid w:val="00621FB2"/>
    <w:rsid w:val="0063152A"/>
    <w:rsid w:val="00632209"/>
    <w:rsid w:val="00632771"/>
    <w:rsid w:val="00633B64"/>
    <w:rsid w:val="00634637"/>
    <w:rsid w:val="0064010D"/>
    <w:rsid w:val="00640339"/>
    <w:rsid w:val="0064192E"/>
    <w:rsid w:val="00643755"/>
    <w:rsid w:val="0066271D"/>
    <w:rsid w:val="00666605"/>
    <w:rsid w:val="00670EB0"/>
    <w:rsid w:val="00676ECB"/>
    <w:rsid w:val="00677E44"/>
    <w:rsid w:val="00683F8D"/>
    <w:rsid w:val="0069386D"/>
    <w:rsid w:val="00694082"/>
    <w:rsid w:val="00694827"/>
    <w:rsid w:val="006A5587"/>
    <w:rsid w:val="006B074C"/>
    <w:rsid w:val="006B322B"/>
    <w:rsid w:val="006C1244"/>
    <w:rsid w:val="006C36BC"/>
    <w:rsid w:val="006C3A87"/>
    <w:rsid w:val="006C5230"/>
    <w:rsid w:val="006D2E1E"/>
    <w:rsid w:val="006F04EC"/>
    <w:rsid w:val="006F0FDA"/>
    <w:rsid w:val="006F3F38"/>
    <w:rsid w:val="006F76AC"/>
    <w:rsid w:val="006F7E50"/>
    <w:rsid w:val="00701982"/>
    <w:rsid w:val="00714E3D"/>
    <w:rsid w:val="007214BA"/>
    <w:rsid w:val="00722512"/>
    <w:rsid w:val="00726F03"/>
    <w:rsid w:val="00727BE8"/>
    <w:rsid w:val="00730244"/>
    <w:rsid w:val="0073126D"/>
    <w:rsid w:val="007317B2"/>
    <w:rsid w:val="0073404A"/>
    <w:rsid w:val="00736C22"/>
    <w:rsid w:val="00737F09"/>
    <w:rsid w:val="00745C80"/>
    <w:rsid w:val="0074790D"/>
    <w:rsid w:val="00757683"/>
    <w:rsid w:val="00780223"/>
    <w:rsid w:val="0078670A"/>
    <w:rsid w:val="00792EBB"/>
    <w:rsid w:val="007A30C3"/>
    <w:rsid w:val="007A3CCF"/>
    <w:rsid w:val="007A3DA1"/>
    <w:rsid w:val="007A720A"/>
    <w:rsid w:val="007A7341"/>
    <w:rsid w:val="007A7659"/>
    <w:rsid w:val="007B6763"/>
    <w:rsid w:val="007C6108"/>
    <w:rsid w:val="007C670F"/>
    <w:rsid w:val="007D191E"/>
    <w:rsid w:val="007D5E8A"/>
    <w:rsid w:val="007D6BDA"/>
    <w:rsid w:val="007E5183"/>
    <w:rsid w:val="007F7409"/>
    <w:rsid w:val="00803267"/>
    <w:rsid w:val="0081280E"/>
    <w:rsid w:val="008179D6"/>
    <w:rsid w:val="0082390B"/>
    <w:rsid w:val="00830D77"/>
    <w:rsid w:val="0084135F"/>
    <w:rsid w:val="0084535E"/>
    <w:rsid w:val="008467EF"/>
    <w:rsid w:val="00851BD6"/>
    <w:rsid w:val="0085467C"/>
    <w:rsid w:val="00863C86"/>
    <w:rsid w:val="008703C2"/>
    <w:rsid w:val="00876527"/>
    <w:rsid w:val="008857D0"/>
    <w:rsid w:val="00886BBF"/>
    <w:rsid w:val="00887D47"/>
    <w:rsid w:val="008937F8"/>
    <w:rsid w:val="00897BF5"/>
    <w:rsid w:val="008B1B3E"/>
    <w:rsid w:val="008B465B"/>
    <w:rsid w:val="008B465E"/>
    <w:rsid w:val="008B4FBC"/>
    <w:rsid w:val="008C60A3"/>
    <w:rsid w:val="008C6311"/>
    <w:rsid w:val="008C7124"/>
    <w:rsid w:val="008D13EC"/>
    <w:rsid w:val="008D4272"/>
    <w:rsid w:val="008D4FCA"/>
    <w:rsid w:val="008D60C2"/>
    <w:rsid w:val="008D7B9F"/>
    <w:rsid w:val="008E5516"/>
    <w:rsid w:val="008E58CE"/>
    <w:rsid w:val="0090493B"/>
    <w:rsid w:val="00907FE4"/>
    <w:rsid w:val="009143F8"/>
    <w:rsid w:val="0091585E"/>
    <w:rsid w:val="00920C0E"/>
    <w:rsid w:val="00924831"/>
    <w:rsid w:val="009267F5"/>
    <w:rsid w:val="009332BB"/>
    <w:rsid w:val="0094008A"/>
    <w:rsid w:val="00943561"/>
    <w:rsid w:val="00945081"/>
    <w:rsid w:val="00946F03"/>
    <w:rsid w:val="009512EB"/>
    <w:rsid w:val="00951D0E"/>
    <w:rsid w:val="00951E9E"/>
    <w:rsid w:val="0095507A"/>
    <w:rsid w:val="00955743"/>
    <w:rsid w:val="00962D53"/>
    <w:rsid w:val="00964920"/>
    <w:rsid w:val="00970E72"/>
    <w:rsid w:val="009723FC"/>
    <w:rsid w:val="00973477"/>
    <w:rsid w:val="009777DB"/>
    <w:rsid w:val="0098764A"/>
    <w:rsid w:val="009A117A"/>
    <w:rsid w:val="009A4515"/>
    <w:rsid w:val="009B19EE"/>
    <w:rsid w:val="009D080D"/>
    <w:rsid w:val="009E18B0"/>
    <w:rsid w:val="009F3627"/>
    <w:rsid w:val="009F4BBF"/>
    <w:rsid w:val="009F5E9E"/>
    <w:rsid w:val="009F6EBF"/>
    <w:rsid w:val="009F7FFA"/>
    <w:rsid w:val="00A0061D"/>
    <w:rsid w:val="00A21BCF"/>
    <w:rsid w:val="00A245E3"/>
    <w:rsid w:val="00A30A59"/>
    <w:rsid w:val="00A32AA9"/>
    <w:rsid w:val="00A34D31"/>
    <w:rsid w:val="00A37FC9"/>
    <w:rsid w:val="00A40C25"/>
    <w:rsid w:val="00A41C01"/>
    <w:rsid w:val="00A438B9"/>
    <w:rsid w:val="00A71206"/>
    <w:rsid w:val="00A7703B"/>
    <w:rsid w:val="00A80DF6"/>
    <w:rsid w:val="00A81355"/>
    <w:rsid w:val="00A86AA6"/>
    <w:rsid w:val="00A86C8B"/>
    <w:rsid w:val="00A9328E"/>
    <w:rsid w:val="00A951ED"/>
    <w:rsid w:val="00AA19D8"/>
    <w:rsid w:val="00AA268F"/>
    <w:rsid w:val="00AB25AB"/>
    <w:rsid w:val="00AB3E92"/>
    <w:rsid w:val="00AD4E41"/>
    <w:rsid w:val="00AD6ADC"/>
    <w:rsid w:val="00AD6D47"/>
    <w:rsid w:val="00AD73C6"/>
    <w:rsid w:val="00AE68BC"/>
    <w:rsid w:val="00AF0020"/>
    <w:rsid w:val="00B03B2D"/>
    <w:rsid w:val="00B20C36"/>
    <w:rsid w:val="00B21D2B"/>
    <w:rsid w:val="00B24D95"/>
    <w:rsid w:val="00B26579"/>
    <w:rsid w:val="00B31BC7"/>
    <w:rsid w:val="00B511C6"/>
    <w:rsid w:val="00B54770"/>
    <w:rsid w:val="00B73382"/>
    <w:rsid w:val="00B738D6"/>
    <w:rsid w:val="00B74EB3"/>
    <w:rsid w:val="00B807DD"/>
    <w:rsid w:val="00B83D18"/>
    <w:rsid w:val="00B851BF"/>
    <w:rsid w:val="00B8631A"/>
    <w:rsid w:val="00B87BE7"/>
    <w:rsid w:val="00B90F67"/>
    <w:rsid w:val="00BA3D9E"/>
    <w:rsid w:val="00BA551D"/>
    <w:rsid w:val="00BB2F84"/>
    <w:rsid w:val="00BB454A"/>
    <w:rsid w:val="00BC0824"/>
    <w:rsid w:val="00BC3720"/>
    <w:rsid w:val="00BC67F4"/>
    <w:rsid w:val="00BC7BFD"/>
    <w:rsid w:val="00BD26F9"/>
    <w:rsid w:val="00BD76C4"/>
    <w:rsid w:val="00BE1728"/>
    <w:rsid w:val="00BE5C9B"/>
    <w:rsid w:val="00BE618C"/>
    <w:rsid w:val="00BE70D8"/>
    <w:rsid w:val="00BF3A31"/>
    <w:rsid w:val="00BF6C65"/>
    <w:rsid w:val="00C0015A"/>
    <w:rsid w:val="00C002E5"/>
    <w:rsid w:val="00C02850"/>
    <w:rsid w:val="00C04D6E"/>
    <w:rsid w:val="00C10006"/>
    <w:rsid w:val="00C1325A"/>
    <w:rsid w:val="00C139FB"/>
    <w:rsid w:val="00C32419"/>
    <w:rsid w:val="00C32EBF"/>
    <w:rsid w:val="00C4092F"/>
    <w:rsid w:val="00C42B79"/>
    <w:rsid w:val="00C43307"/>
    <w:rsid w:val="00C467F0"/>
    <w:rsid w:val="00C472D1"/>
    <w:rsid w:val="00C51019"/>
    <w:rsid w:val="00C53896"/>
    <w:rsid w:val="00C56F3B"/>
    <w:rsid w:val="00C60F55"/>
    <w:rsid w:val="00C672C2"/>
    <w:rsid w:val="00C7262A"/>
    <w:rsid w:val="00C73C0B"/>
    <w:rsid w:val="00C74C71"/>
    <w:rsid w:val="00C758AF"/>
    <w:rsid w:val="00C84D89"/>
    <w:rsid w:val="00C876B2"/>
    <w:rsid w:val="00C901A6"/>
    <w:rsid w:val="00C9278B"/>
    <w:rsid w:val="00CA1ED1"/>
    <w:rsid w:val="00CA2483"/>
    <w:rsid w:val="00CA709C"/>
    <w:rsid w:val="00CC0187"/>
    <w:rsid w:val="00CC79CA"/>
    <w:rsid w:val="00CD1C47"/>
    <w:rsid w:val="00CD784D"/>
    <w:rsid w:val="00CE42F0"/>
    <w:rsid w:val="00CF0DB0"/>
    <w:rsid w:val="00CF2C78"/>
    <w:rsid w:val="00CF56AE"/>
    <w:rsid w:val="00D07239"/>
    <w:rsid w:val="00D0787F"/>
    <w:rsid w:val="00D20F0F"/>
    <w:rsid w:val="00D240CE"/>
    <w:rsid w:val="00D26169"/>
    <w:rsid w:val="00D26A90"/>
    <w:rsid w:val="00D348A7"/>
    <w:rsid w:val="00D40417"/>
    <w:rsid w:val="00D574B1"/>
    <w:rsid w:val="00D67FC7"/>
    <w:rsid w:val="00D73B67"/>
    <w:rsid w:val="00D74043"/>
    <w:rsid w:val="00D752A5"/>
    <w:rsid w:val="00D75434"/>
    <w:rsid w:val="00D815A3"/>
    <w:rsid w:val="00D83775"/>
    <w:rsid w:val="00D92B4E"/>
    <w:rsid w:val="00D92ED3"/>
    <w:rsid w:val="00D96F42"/>
    <w:rsid w:val="00D97CC3"/>
    <w:rsid w:val="00DA1C33"/>
    <w:rsid w:val="00DA51E7"/>
    <w:rsid w:val="00DD08EF"/>
    <w:rsid w:val="00DE3754"/>
    <w:rsid w:val="00DE4590"/>
    <w:rsid w:val="00DE4FE1"/>
    <w:rsid w:val="00DF4689"/>
    <w:rsid w:val="00E00060"/>
    <w:rsid w:val="00E048DB"/>
    <w:rsid w:val="00E10CD4"/>
    <w:rsid w:val="00E12C7D"/>
    <w:rsid w:val="00E132C8"/>
    <w:rsid w:val="00E157E5"/>
    <w:rsid w:val="00E168E4"/>
    <w:rsid w:val="00E211B7"/>
    <w:rsid w:val="00E36AC7"/>
    <w:rsid w:val="00E416FE"/>
    <w:rsid w:val="00E445CD"/>
    <w:rsid w:val="00E52B73"/>
    <w:rsid w:val="00E550DF"/>
    <w:rsid w:val="00E719CD"/>
    <w:rsid w:val="00E74AE2"/>
    <w:rsid w:val="00E81724"/>
    <w:rsid w:val="00E840F8"/>
    <w:rsid w:val="00E878D5"/>
    <w:rsid w:val="00EA764F"/>
    <w:rsid w:val="00EB4F81"/>
    <w:rsid w:val="00EC574E"/>
    <w:rsid w:val="00EC57AF"/>
    <w:rsid w:val="00EC64C3"/>
    <w:rsid w:val="00EC77B2"/>
    <w:rsid w:val="00EE3229"/>
    <w:rsid w:val="00EE58B6"/>
    <w:rsid w:val="00EF0AAC"/>
    <w:rsid w:val="00EF1A30"/>
    <w:rsid w:val="00EF72C2"/>
    <w:rsid w:val="00F05393"/>
    <w:rsid w:val="00F11A2C"/>
    <w:rsid w:val="00F11DC2"/>
    <w:rsid w:val="00F17A7D"/>
    <w:rsid w:val="00F23B66"/>
    <w:rsid w:val="00F23C57"/>
    <w:rsid w:val="00F3657A"/>
    <w:rsid w:val="00F365A7"/>
    <w:rsid w:val="00F37128"/>
    <w:rsid w:val="00F40F6A"/>
    <w:rsid w:val="00F42A5C"/>
    <w:rsid w:val="00F45CAE"/>
    <w:rsid w:val="00F475B6"/>
    <w:rsid w:val="00F54E1A"/>
    <w:rsid w:val="00F57ACC"/>
    <w:rsid w:val="00F708B3"/>
    <w:rsid w:val="00F80C47"/>
    <w:rsid w:val="00F8684F"/>
    <w:rsid w:val="00F911F1"/>
    <w:rsid w:val="00F92C88"/>
    <w:rsid w:val="00F94380"/>
    <w:rsid w:val="00F94A19"/>
    <w:rsid w:val="00FA618D"/>
    <w:rsid w:val="00FB56FF"/>
    <w:rsid w:val="00FC143A"/>
    <w:rsid w:val="00FC2380"/>
    <w:rsid w:val="00FD182B"/>
    <w:rsid w:val="00FD202E"/>
    <w:rsid w:val="00FD5697"/>
    <w:rsid w:val="00FE43CA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85D6"/>
  <w15:docId w15:val="{42015EFE-C06A-4046-AEC7-0808B1E9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EA764F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customStyle="1" w:styleId="ConsPlusCell">
    <w:name w:val="ConsPlusCell"/>
    <w:rsid w:val="00EA764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D96F4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D96F4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D96F4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a8">
    <w:name w:val="Основной текст с отступом Знак"/>
    <w:basedOn w:val="a0"/>
    <w:link w:val="a7"/>
    <w:uiPriority w:val="99"/>
    <w:rsid w:val="00D96F42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customStyle="1" w:styleId="a9">
    <w:name w:val="Нормальный"/>
    <w:rsid w:val="00D96F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D6D47"/>
  </w:style>
  <w:style w:type="paragraph" w:styleId="aa">
    <w:name w:val="List Paragraph"/>
    <w:basedOn w:val="a"/>
    <w:uiPriority w:val="34"/>
    <w:qFormat/>
    <w:rsid w:val="0036727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A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060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1A2C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4A20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Hyperlink"/>
    <w:uiPriority w:val="99"/>
    <w:unhideWhenUsed/>
    <w:rsid w:val="00D574B1"/>
    <w:rPr>
      <w:color w:val="0000FF"/>
      <w:u w:val="single"/>
    </w:rPr>
  </w:style>
  <w:style w:type="paragraph" w:styleId="af1">
    <w:name w:val="No Spacing"/>
    <w:link w:val="af2"/>
    <w:uiPriority w:val="1"/>
    <w:qFormat/>
    <w:rsid w:val="00D5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D574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5C3A6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64375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">
    <w:name w:val="text"/>
    <w:basedOn w:val="a0"/>
    <w:rsid w:val="0009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FDDC-A24A-4043-8EB9-3ADEA6E4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9391</Words>
  <Characters>53531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Гуськова НА</cp:lastModifiedBy>
  <cp:revision>4</cp:revision>
  <cp:lastPrinted>2026-03-16T12:35:00Z</cp:lastPrinted>
  <dcterms:created xsi:type="dcterms:W3CDTF">2026-03-17T10:47:00Z</dcterms:created>
  <dcterms:modified xsi:type="dcterms:W3CDTF">2026-03-17T11:26:00Z</dcterms:modified>
</cp:coreProperties>
</file>